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EA351" w14:textId="0C0C68CE" w:rsidR="00401300" w:rsidRDefault="00401300" w:rsidP="00401300">
      <w:pPr>
        <w:pStyle w:val="Title"/>
        <w:spacing w:after="160" w:line="259" w:lineRule="auto"/>
        <w:contextualSpacing w:val="0"/>
        <w:rPr>
          <w:rFonts w:ascii="Arial" w:eastAsia="Calibri" w:hAnsi="Arial" w:cs="Arial"/>
          <w:b/>
          <w:caps/>
          <w:spacing w:val="0"/>
          <w:kern w:val="2"/>
          <w:sz w:val="32"/>
          <w:szCs w:val="32"/>
          <w:lang w:eastAsia="en-US"/>
        </w:rPr>
        <w:sectPr w:rsidR="00401300" w:rsidSect="00FD0DA0">
          <w:headerReference w:type="default" r:id="rId10"/>
          <w:footerReference w:type="default" r:id="rId11"/>
          <w:headerReference w:type="first" r:id="rId12"/>
          <w:footerReference w:type="first" r:id="rId13"/>
          <w:pgSz w:w="11906" w:h="16838"/>
          <w:pgMar w:top="1440" w:right="1440" w:bottom="1440" w:left="1440" w:header="708" w:footer="241" w:gutter="0"/>
          <w:cols w:space="708"/>
          <w:titlePg/>
          <w:docGrid w:linePitch="360"/>
        </w:sectPr>
      </w:pPr>
      <w:r w:rsidRPr="00930BB8">
        <w:rPr>
          <w:noProof/>
          <w:sz w:val="20"/>
          <w:szCs w:val="20"/>
        </w:rPr>
        <mc:AlternateContent>
          <mc:Choice Requires="wps">
            <w:drawing>
              <wp:anchor distT="4294967295" distB="4294967295" distL="114300" distR="114300" simplePos="0" relativeHeight="251659264" behindDoc="0" locked="0" layoutInCell="1" allowOverlap="1" wp14:anchorId="2E10414C" wp14:editId="7A57CD09">
                <wp:simplePos x="0" y="0"/>
                <wp:positionH relativeFrom="margin">
                  <wp:align>left</wp:align>
                </wp:positionH>
                <wp:positionV relativeFrom="page">
                  <wp:posOffset>1801317</wp:posOffset>
                </wp:positionV>
                <wp:extent cx="5690870" cy="0"/>
                <wp:effectExtent l="0" t="0" r="0" b="0"/>
                <wp:wrapNone/>
                <wp:docPr id="41936572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0870" cy="0"/>
                        </a:xfrm>
                        <a:prstGeom prst="line">
                          <a:avLst/>
                        </a:prstGeom>
                        <a:noFill/>
                        <a:ln w="1270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431690" id="Straight Connector 1"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page;mso-height-relative:page" from="0,141.85pt" to="448.1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" strokecolor="#a6a6a6" strokeweight="1pt">
                <v:stroke joinstyle="miter"/>
                <o:lock v:ext="edit" shapetype="f"/>
                <w10:wrap anchorx="margin" anchory="page"/>
              </v:line>
            </w:pict>
          </mc:Fallback>
        </mc:AlternateContent>
      </w:r>
      <w:r w:rsidRPr="00401300">
        <w:rPr>
          <w:rFonts w:ascii="Arial" w:eastAsia="Calibri" w:hAnsi="Arial" w:cs="Arial"/>
          <w:b/>
          <w:caps/>
          <w:spacing w:val="0"/>
          <w:kern w:val="2"/>
          <w:sz w:val="32"/>
          <w:szCs w:val="32"/>
          <w:lang w:eastAsia="en-US"/>
        </w:rPr>
        <w:t>PRACTICE NOTE 24A</w:t>
      </w:r>
    </w:p>
    <w:p w14:paraId="5A58E776" w14:textId="065BC472" w:rsidR="00401300" w:rsidRPr="00FD0DA0" w:rsidRDefault="00401300" w:rsidP="00FD0DA0">
      <w:pPr>
        <w:spacing w:after="160" w:line="259" w:lineRule="auto"/>
        <w:rPr>
          <w:rFonts w:cs="Arial"/>
          <w:kern w:val="2"/>
          <w:sz w:val="20"/>
          <w:szCs w:val="20"/>
          <w:lang w:eastAsia="en-US"/>
        </w:rPr>
      </w:pPr>
    </w:p>
    <w:p w14:paraId="7F0ED7EE" w14:textId="51BCFD94" w:rsidR="00AB4363" w:rsidRPr="00FD0DA0" w:rsidRDefault="00AB4363" w:rsidP="00FD0DA0">
      <w:pPr>
        <w:pStyle w:val="Subtitle"/>
        <w:numPr>
          <w:ilvl w:val="0"/>
          <w:numId w:val="0"/>
        </w:numPr>
        <w:spacing w:before="240" w:after="240"/>
        <w:jc w:val="center"/>
        <w:rPr>
          <w:rFonts w:eastAsia="Times New Roman" w:cs="Arial"/>
          <w:b/>
          <w:bCs/>
          <w:spacing w:val="0"/>
          <w:kern w:val="2"/>
          <w:sz w:val="24"/>
          <w:szCs w:val="24"/>
          <w:shd w:val="clear" w:color="auto" w:fill="FFFFFF"/>
        </w:rPr>
      </w:pPr>
      <w:r w:rsidRPr="00FD0DA0">
        <w:rPr>
          <w:rFonts w:eastAsia="Times New Roman" w:cs="Arial"/>
          <w:b/>
          <w:bCs/>
          <w:color w:val="auto"/>
          <w:spacing w:val="0"/>
          <w:kern w:val="2"/>
          <w:sz w:val="24"/>
          <w:szCs w:val="24"/>
          <w:shd w:val="clear" w:color="auto" w:fill="FFFFFF"/>
        </w:rPr>
        <w:t>INDUSTRIAL RELATIONS COMMISSION OF NEW SOUTH WALES</w:t>
      </w:r>
    </w:p>
    <w:p w14:paraId="54CB2401" w14:textId="77777777" w:rsidR="00AB4363" w:rsidRPr="00FD0DA0" w:rsidRDefault="00AB4363" w:rsidP="00FD0DA0">
      <w:pPr>
        <w:spacing w:after="160" w:line="259" w:lineRule="auto"/>
        <w:rPr>
          <w:rFonts w:cs="Arial"/>
          <w:kern w:val="2"/>
          <w:sz w:val="20"/>
          <w:szCs w:val="20"/>
          <w:lang w:eastAsia="en-US"/>
        </w:rPr>
      </w:pPr>
    </w:p>
    <w:p w14:paraId="6D740729" w14:textId="78487FFF" w:rsidR="00AB4363" w:rsidRPr="00FD0DA0" w:rsidRDefault="00356514" w:rsidP="00FD0DA0">
      <w:pPr>
        <w:spacing w:after="160" w:line="259" w:lineRule="auto"/>
        <w:jc w:val="center"/>
        <w:rPr>
          <w:rStyle w:val="SubtleEmphasis"/>
          <w:rFonts w:eastAsia="Calibri" w:cs="Arial"/>
          <w:kern w:val="2"/>
        </w:rPr>
      </w:pPr>
      <w:r>
        <w:t xml:space="preserve">Issued </w:t>
      </w:r>
      <w:r>
        <w:rPr>
          <w:rStyle w:val="SubtleEmphasis"/>
          <w:rFonts w:eastAsia="Calibri" w:cs="Arial"/>
          <w:kern w:val="2"/>
        </w:rPr>
        <w:t>p</w:t>
      </w:r>
      <w:r w:rsidR="00AB4363" w:rsidRPr="00FD0DA0">
        <w:rPr>
          <w:rStyle w:val="SubtleEmphasis"/>
          <w:rFonts w:eastAsia="Calibri" w:cs="Arial"/>
          <w:kern w:val="2"/>
        </w:rPr>
        <w:t xml:space="preserve">ursuant to </w:t>
      </w:r>
      <w:r>
        <w:rPr>
          <w:rStyle w:val="SubtleEmphasis"/>
          <w:rFonts w:eastAsia="Calibri" w:cs="Arial"/>
          <w:kern w:val="2"/>
        </w:rPr>
        <w:t>s </w:t>
      </w:r>
      <w:r w:rsidR="00AB4363" w:rsidRPr="00FD0DA0">
        <w:rPr>
          <w:rStyle w:val="SubtleEmphasis"/>
          <w:rFonts w:eastAsia="Calibri" w:cs="Arial"/>
          <w:kern w:val="2"/>
        </w:rPr>
        <w:t xml:space="preserve">185A of the </w:t>
      </w:r>
      <w:r w:rsidR="00AB4363" w:rsidRPr="009E774A">
        <w:rPr>
          <w:rStyle w:val="SubtleEmphasis"/>
          <w:rFonts w:eastAsia="Calibri" w:cs="Arial"/>
          <w:i/>
          <w:iCs/>
          <w:kern w:val="2"/>
        </w:rPr>
        <w:t>Industrial Relations Act</w:t>
      </w:r>
      <w:r w:rsidR="00AB4363" w:rsidRPr="00FD0DA0">
        <w:rPr>
          <w:rStyle w:val="SubtleEmphasis"/>
          <w:rFonts w:eastAsia="Calibri" w:cs="Arial"/>
          <w:i/>
          <w:iCs/>
          <w:kern w:val="2"/>
        </w:rPr>
        <w:t xml:space="preserve"> 1996</w:t>
      </w:r>
      <w:r w:rsidR="00AB4363" w:rsidRPr="00FD0DA0">
        <w:rPr>
          <w:rStyle w:val="SubtleEmphasis"/>
          <w:rFonts w:eastAsia="Calibri" w:cs="Arial"/>
          <w:kern w:val="2"/>
        </w:rPr>
        <w:t xml:space="preserve"> </w:t>
      </w:r>
      <w:r>
        <w:rPr>
          <w:rStyle w:val="SubtleEmphasis"/>
          <w:rFonts w:eastAsia="Calibri" w:cs="Arial"/>
          <w:kern w:val="2"/>
        </w:rPr>
        <w:t>(NSW)</w:t>
      </w:r>
      <w:r>
        <w:rPr>
          <w:rStyle w:val="SubtleEmphasis"/>
          <w:rFonts w:eastAsia="Calibri" w:cs="Arial"/>
          <w:kern w:val="2"/>
        </w:rPr>
        <w:br/>
      </w:r>
      <w:r w:rsidR="00AB4363" w:rsidRPr="00FD0DA0">
        <w:rPr>
          <w:rStyle w:val="SubtleEmphasis"/>
          <w:rFonts w:eastAsia="Calibri" w:cs="Arial"/>
          <w:kern w:val="2"/>
        </w:rPr>
        <w:t xml:space="preserve">and </w:t>
      </w:r>
      <w:r>
        <w:rPr>
          <w:rStyle w:val="SubtleEmphasis"/>
          <w:rFonts w:eastAsia="Calibri" w:cs="Arial"/>
          <w:kern w:val="2"/>
        </w:rPr>
        <w:t>s </w:t>
      </w:r>
      <w:r w:rsidR="00AB4363" w:rsidRPr="00FD0DA0">
        <w:rPr>
          <w:rStyle w:val="SubtleEmphasis"/>
          <w:rFonts w:eastAsia="Calibri" w:cs="Arial"/>
          <w:kern w:val="2"/>
        </w:rPr>
        <w:t xml:space="preserve">15 of the </w:t>
      </w:r>
      <w:r w:rsidR="00AB4363" w:rsidRPr="009E774A">
        <w:rPr>
          <w:rStyle w:val="SubtleEmphasis"/>
          <w:rFonts w:eastAsia="Calibri" w:cs="Arial"/>
          <w:i/>
          <w:iCs/>
          <w:kern w:val="2"/>
        </w:rPr>
        <w:t xml:space="preserve">Civil Procedure Act </w:t>
      </w:r>
      <w:r w:rsidR="00AB4363" w:rsidRPr="00FD0DA0">
        <w:rPr>
          <w:rStyle w:val="SubtleEmphasis"/>
          <w:rFonts w:eastAsia="Calibri" w:cs="Arial"/>
          <w:i/>
          <w:iCs/>
          <w:kern w:val="2"/>
        </w:rPr>
        <w:t>2005</w:t>
      </w:r>
      <w:r>
        <w:rPr>
          <w:rStyle w:val="SubtleEmphasis"/>
          <w:rFonts w:eastAsia="Calibri" w:cs="Arial"/>
          <w:i/>
          <w:iCs/>
          <w:kern w:val="2"/>
        </w:rPr>
        <w:t xml:space="preserve"> </w:t>
      </w:r>
      <w:r>
        <w:rPr>
          <w:rStyle w:val="SubtleEmphasis"/>
          <w:rFonts w:eastAsia="Calibri" w:cs="Arial"/>
          <w:kern w:val="2"/>
        </w:rPr>
        <w:t>(NSW)</w:t>
      </w:r>
    </w:p>
    <w:p w14:paraId="1743AFE0" w14:textId="77777777" w:rsidR="00AB4363" w:rsidRPr="00FD0DA0" w:rsidRDefault="00AB4363" w:rsidP="00FD0DA0">
      <w:pPr>
        <w:spacing w:after="160" w:line="259" w:lineRule="auto"/>
        <w:rPr>
          <w:rFonts w:cs="Arial"/>
          <w:kern w:val="2"/>
          <w:sz w:val="20"/>
          <w:szCs w:val="20"/>
          <w:lang w:eastAsia="en-US"/>
        </w:rPr>
      </w:pPr>
    </w:p>
    <w:p w14:paraId="1ABEE125" w14:textId="1D4B7066" w:rsidR="00AB4363" w:rsidRPr="00FD0DA0" w:rsidRDefault="00AB4363" w:rsidP="00FD0DA0">
      <w:pPr>
        <w:pStyle w:val="Heading1"/>
        <w:keepNext w:val="0"/>
        <w:keepLines w:val="0"/>
        <w:spacing w:before="0" w:after="160" w:line="259" w:lineRule="auto"/>
        <w:jc w:val="center"/>
        <w:rPr>
          <w:rFonts w:eastAsia="Times New Roman"/>
          <w:bCs/>
          <w:smallCaps/>
          <w:kern w:val="2"/>
          <w:sz w:val="24"/>
          <w:szCs w:val="24"/>
          <w:shd w:val="clear" w:color="auto" w:fill="FFFFFF"/>
        </w:rPr>
      </w:pPr>
      <w:r w:rsidRPr="00FD0DA0">
        <w:rPr>
          <w:rFonts w:ascii="Arial" w:eastAsia="Times New Roman" w:hAnsi="Arial" w:cs="Arial"/>
          <w:b/>
          <w:bCs/>
          <w:smallCaps/>
          <w:color w:val="auto"/>
          <w:kern w:val="2"/>
          <w:sz w:val="24"/>
          <w:szCs w:val="24"/>
          <w:shd w:val="clear" w:color="auto" w:fill="FFFFFF"/>
        </w:rPr>
        <w:t>P</w:t>
      </w:r>
      <w:r w:rsidR="00356514" w:rsidRPr="00356514">
        <w:rPr>
          <w:rFonts w:ascii="Arial" w:eastAsia="Times New Roman" w:hAnsi="Arial" w:cs="Arial"/>
          <w:b/>
          <w:bCs/>
          <w:smallCaps/>
          <w:color w:val="auto"/>
          <w:kern w:val="2"/>
          <w:sz w:val="24"/>
          <w:szCs w:val="24"/>
          <w:shd w:val="clear" w:color="auto" w:fill="FFFFFF"/>
        </w:rPr>
        <w:t>rocedures</w:t>
      </w:r>
      <w:r w:rsidRPr="00FD0DA0">
        <w:rPr>
          <w:rFonts w:ascii="Arial" w:eastAsia="Times New Roman" w:hAnsi="Arial" w:cs="Arial"/>
          <w:b/>
          <w:bCs/>
          <w:smallCaps/>
          <w:color w:val="auto"/>
          <w:kern w:val="2"/>
          <w:sz w:val="24"/>
          <w:szCs w:val="24"/>
          <w:shd w:val="clear" w:color="auto" w:fill="FFFFFF"/>
        </w:rPr>
        <w:t xml:space="preserve"> for </w:t>
      </w:r>
      <w:r w:rsidR="009E774A" w:rsidRPr="00FD0DA0">
        <w:rPr>
          <w:rFonts w:ascii="Arial" w:eastAsia="Times New Roman" w:hAnsi="Arial" w:cs="Arial"/>
          <w:b/>
          <w:bCs/>
          <w:smallCaps/>
          <w:color w:val="auto"/>
          <w:kern w:val="2"/>
          <w:sz w:val="24"/>
          <w:szCs w:val="24"/>
          <w:shd w:val="clear" w:color="auto" w:fill="FFFFFF"/>
        </w:rPr>
        <w:t xml:space="preserve">Matters Arising Under </w:t>
      </w:r>
      <w:r w:rsidRPr="00FD0DA0">
        <w:rPr>
          <w:rFonts w:ascii="Arial" w:eastAsia="Times New Roman" w:hAnsi="Arial" w:cs="Arial"/>
          <w:b/>
          <w:bCs/>
          <w:smallCaps/>
          <w:color w:val="auto"/>
          <w:kern w:val="2"/>
          <w:sz w:val="24"/>
          <w:szCs w:val="24"/>
          <w:shd w:val="clear" w:color="auto" w:fill="FFFFFF"/>
        </w:rPr>
        <w:t xml:space="preserve">the </w:t>
      </w:r>
      <w:r w:rsidR="00356514" w:rsidRPr="00356514">
        <w:rPr>
          <w:rFonts w:ascii="Arial" w:eastAsia="Times New Roman" w:hAnsi="Arial" w:cs="Arial"/>
          <w:b/>
          <w:bCs/>
          <w:i/>
          <w:iCs/>
          <w:smallCaps/>
          <w:color w:val="auto"/>
          <w:kern w:val="2"/>
          <w:sz w:val="24"/>
          <w:szCs w:val="24"/>
          <w:shd w:val="clear" w:color="auto" w:fill="FFFFFF"/>
        </w:rPr>
        <w:t>P</w:t>
      </w:r>
      <w:r w:rsidRPr="00FD0DA0">
        <w:rPr>
          <w:rFonts w:ascii="Arial" w:eastAsia="Times New Roman" w:hAnsi="Arial" w:cs="Arial"/>
          <w:b/>
          <w:bCs/>
          <w:i/>
          <w:iCs/>
          <w:smallCaps/>
          <w:color w:val="auto"/>
          <w:kern w:val="2"/>
          <w:sz w:val="24"/>
          <w:szCs w:val="24"/>
          <w:shd w:val="clear" w:color="auto" w:fill="FFFFFF"/>
        </w:rPr>
        <w:t xml:space="preserve">olice </w:t>
      </w:r>
      <w:r w:rsidR="00356514" w:rsidRPr="00356514">
        <w:rPr>
          <w:rFonts w:ascii="Arial" w:eastAsia="Times New Roman" w:hAnsi="Arial" w:cs="Arial"/>
          <w:b/>
          <w:bCs/>
          <w:i/>
          <w:iCs/>
          <w:smallCaps/>
          <w:color w:val="auto"/>
          <w:kern w:val="2"/>
          <w:sz w:val="24"/>
          <w:szCs w:val="24"/>
          <w:shd w:val="clear" w:color="auto" w:fill="FFFFFF"/>
        </w:rPr>
        <w:t>A</w:t>
      </w:r>
      <w:r w:rsidRPr="00FD0DA0">
        <w:rPr>
          <w:rFonts w:ascii="Arial" w:eastAsia="Times New Roman" w:hAnsi="Arial" w:cs="Arial"/>
          <w:b/>
          <w:bCs/>
          <w:i/>
          <w:iCs/>
          <w:smallCaps/>
          <w:color w:val="auto"/>
          <w:kern w:val="2"/>
          <w:sz w:val="24"/>
          <w:szCs w:val="24"/>
          <w:shd w:val="clear" w:color="auto" w:fill="FFFFFF"/>
        </w:rPr>
        <w:t>ct 1990</w:t>
      </w:r>
      <w:r w:rsidRPr="00FD0DA0">
        <w:rPr>
          <w:rFonts w:ascii="Arial" w:eastAsia="Times New Roman" w:hAnsi="Arial" w:cs="Arial"/>
          <w:b/>
          <w:bCs/>
          <w:smallCaps/>
          <w:color w:val="auto"/>
          <w:kern w:val="2"/>
          <w:sz w:val="24"/>
          <w:szCs w:val="24"/>
          <w:shd w:val="clear" w:color="auto" w:fill="FFFFFF"/>
        </w:rPr>
        <w:t xml:space="preserve"> </w:t>
      </w:r>
      <w:r w:rsidR="00356514">
        <w:rPr>
          <w:rFonts w:ascii="Arial" w:eastAsia="Times New Roman" w:hAnsi="Arial" w:cs="Arial"/>
          <w:b/>
          <w:bCs/>
          <w:smallCaps/>
          <w:color w:val="auto"/>
          <w:kern w:val="2"/>
          <w:sz w:val="24"/>
          <w:szCs w:val="24"/>
          <w:shd w:val="clear" w:color="auto" w:fill="FFFFFF"/>
        </w:rPr>
        <w:t>(NSW)</w:t>
      </w:r>
    </w:p>
    <w:p w14:paraId="3E41978C" w14:textId="63931831" w:rsidR="00356514" w:rsidRPr="00FD0DA0" w:rsidRDefault="00356514" w:rsidP="00FD0DA0">
      <w:pPr>
        <w:pStyle w:val="Heading2"/>
        <w:keepLines w:val="0"/>
        <w:spacing w:before="240" w:after="240"/>
        <w:rPr>
          <w:rFonts w:eastAsia="Times New Roman"/>
          <w:b/>
          <w:bCs/>
          <w:smallCaps/>
          <w:kern w:val="2"/>
          <w:shd w:val="clear" w:color="auto" w:fill="FFFFFF"/>
        </w:rPr>
      </w:pPr>
      <w:r w:rsidRPr="00FD0DA0">
        <w:rPr>
          <w:rFonts w:ascii="Arial" w:eastAsia="Times New Roman" w:hAnsi="Arial" w:cs="Arial"/>
          <w:b/>
          <w:bCs/>
          <w:smallCaps/>
          <w:color w:val="auto"/>
          <w:kern w:val="2"/>
          <w:sz w:val="24"/>
          <w:szCs w:val="24"/>
          <w:shd w:val="clear" w:color="auto" w:fill="FFFFFF"/>
        </w:rPr>
        <w:t>Commencement</w:t>
      </w:r>
    </w:p>
    <w:p w14:paraId="05F4E7C5" w14:textId="698230E6" w:rsidR="00356514" w:rsidRDefault="00AB4363" w:rsidP="00356514">
      <w:pPr>
        <w:pStyle w:val="1stLevel"/>
        <w:numPr>
          <w:ilvl w:val="0"/>
          <w:numId w:val="1"/>
        </w:numPr>
        <w:tabs>
          <w:tab w:val="clear" w:pos="720"/>
        </w:tabs>
      </w:pPr>
      <w:r>
        <w:t xml:space="preserve">This Practice Note </w:t>
      </w:r>
      <w:r w:rsidR="00356514">
        <w:t xml:space="preserve">shall commence on the date of issue and </w:t>
      </w:r>
      <w:r>
        <w:t>supersedes Practice Note</w:t>
      </w:r>
      <w:r w:rsidR="00930989">
        <w:t> </w:t>
      </w:r>
      <w:r>
        <w:t xml:space="preserve">24. </w:t>
      </w:r>
      <w:r w:rsidR="00356514">
        <w:t xml:space="preserve"> Practice Note</w:t>
      </w:r>
      <w:r w:rsidR="00930989">
        <w:t> </w:t>
      </w:r>
      <w:r w:rsidR="00356514">
        <w:t xml:space="preserve">24 </w:t>
      </w:r>
      <w:r w:rsidR="00356514" w:rsidRPr="00356514">
        <w:t xml:space="preserve">shall cease to operate upon the commencement of </w:t>
      </w:r>
      <w:r w:rsidR="00356514">
        <w:t xml:space="preserve">this </w:t>
      </w:r>
      <w:r w:rsidR="00356514" w:rsidRPr="00356514">
        <w:t>Practice Note</w:t>
      </w:r>
      <w:r w:rsidR="00356514">
        <w:t>.</w:t>
      </w:r>
    </w:p>
    <w:p w14:paraId="11DC703F" w14:textId="3B70ACBA" w:rsidR="00356514" w:rsidRPr="00FD0DA0" w:rsidRDefault="00356514" w:rsidP="00FD0DA0">
      <w:pPr>
        <w:pStyle w:val="Heading2"/>
        <w:keepLines w:val="0"/>
        <w:spacing w:before="240" w:after="240"/>
        <w:rPr>
          <w:b/>
          <w:bCs/>
          <w:smallCaps/>
          <w:kern w:val="2"/>
          <w:sz w:val="24"/>
          <w:szCs w:val="24"/>
        </w:rPr>
      </w:pPr>
      <w:r w:rsidRPr="00FD0DA0">
        <w:rPr>
          <w:rFonts w:ascii="Arial" w:eastAsia="Times New Roman" w:hAnsi="Arial" w:cs="Arial"/>
          <w:b/>
          <w:bCs/>
          <w:smallCaps/>
          <w:color w:val="auto"/>
          <w:kern w:val="2"/>
          <w:sz w:val="24"/>
          <w:szCs w:val="24"/>
          <w:shd w:val="clear" w:color="auto" w:fill="FFFFFF"/>
        </w:rPr>
        <w:t>Application</w:t>
      </w:r>
    </w:p>
    <w:p w14:paraId="4D238F6E" w14:textId="5A350244" w:rsidR="00AB4363" w:rsidRDefault="0002129A" w:rsidP="00356514">
      <w:pPr>
        <w:pStyle w:val="1stLevel"/>
        <w:numPr>
          <w:ilvl w:val="0"/>
          <w:numId w:val="1"/>
        </w:numPr>
        <w:tabs>
          <w:tab w:val="clear" w:pos="720"/>
        </w:tabs>
      </w:pPr>
      <w:r>
        <w:t xml:space="preserve">This Practice Note </w:t>
      </w:r>
      <w:r w:rsidR="00AB4363">
        <w:t xml:space="preserve">applies to proceedings before the </w:t>
      </w:r>
      <w:r w:rsidR="00E633E9">
        <w:t>Industrial Relations Commission of New South Wales (</w:t>
      </w:r>
      <w:r w:rsidR="00E633E9" w:rsidRPr="009E774A">
        <w:rPr>
          <w:b/>
          <w:bCs/>
        </w:rPr>
        <w:t xml:space="preserve">the </w:t>
      </w:r>
      <w:r w:rsidR="00AB4363" w:rsidRPr="009E774A">
        <w:rPr>
          <w:b/>
          <w:bCs/>
        </w:rPr>
        <w:t>Commission</w:t>
      </w:r>
      <w:r w:rsidR="00E633E9">
        <w:t>)</w:t>
      </w:r>
      <w:r w:rsidR="00AB4363">
        <w:t xml:space="preserve"> that arise under Part</w:t>
      </w:r>
      <w:r w:rsidR="00930989">
        <w:t> </w:t>
      </w:r>
      <w:r w:rsidR="00AB4363">
        <w:t xml:space="preserve">9 of the </w:t>
      </w:r>
      <w:r w:rsidR="00AB4363" w:rsidRPr="00930989">
        <w:rPr>
          <w:i/>
          <w:iCs/>
        </w:rPr>
        <w:t>Police Act</w:t>
      </w:r>
      <w:r w:rsidR="00AB4363" w:rsidRPr="00FD0DA0">
        <w:rPr>
          <w:i/>
          <w:iCs/>
        </w:rPr>
        <w:t xml:space="preserve"> 1990</w:t>
      </w:r>
      <w:r w:rsidR="00AB4363">
        <w:t xml:space="preserve"> </w:t>
      </w:r>
      <w:r w:rsidR="00930989">
        <w:t xml:space="preserve">(NSW) </w:t>
      </w:r>
      <w:r w:rsidR="00AB4363">
        <w:t>(</w:t>
      </w:r>
      <w:r w:rsidR="00AB4363" w:rsidRPr="009E774A">
        <w:rPr>
          <w:b/>
          <w:bCs/>
        </w:rPr>
        <w:t>the</w:t>
      </w:r>
      <w:r w:rsidR="00930989" w:rsidRPr="009E774A">
        <w:rPr>
          <w:b/>
          <w:bCs/>
        </w:rPr>
        <w:t> </w:t>
      </w:r>
      <w:r w:rsidR="00AB4363" w:rsidRPr="009E774A">
        <w:rPr>
          <w:b/>
          <w:bCs/>
        </w:rPr>
        <w:t>Police</w:t>
      </w:r>
      <w:r w:rsidR="00930989" w:rsidRPr="009E774A">
        <w:rPr>
          <w:b/>
          <w:bCs/>
        </w:rPr>
        <w:t> </w:t>
      </w:r>
      <w:r w:rsidR="00AB4363" w:rsidRPr="009E774A">
        <w:rPr>
          <w:b/>
          <w:bCs/>
        </w:rPr>
        <w:t>Act</w:t>
      </w:r>
      <w:r w:rsidR="00AB4363">
        <w:t>)</w:t>
      </w:r>
      <w:r w:rsidR="00E633E9">
        <w:t>, being</w:t>
      </w:r>
      <w:r w:rsidR="00AB4363">
        <w:t>:</w:t>
      </w:r>
    </w:p>
    <w:p w14:paraId="68424A39" w14:textId="5DD2B4DB" w:rsidR="00AB4363" w:rsidRPr="00893D84" w:rsidRDefault="00AB4363" w:rsidP="00FD0DA0">
      <w:pPr>
        <w:pStyle w:val="2ndLevel"/>
        <w:ind w:hanging="720"/>
      </w:pPr>
      <w:r w:rsidRPr="00893D84">
        <w:t>applications under s</w:t>
      </w:r>
      <w:r w:rsidR="00930989" w:rsidRPr="00893D84">
        <w:t> </w:t>
      </w:r>
      <w:r w:rsidRPr="00893D84">
        <w:t>174 of the P</w:t>
      </w:r>
      <w:r w:rsidR="00E40875">
        <w:t>o</w:t>
      </w:r>
      <w:r w:rsidRPr="00893D84">
        <w:t xml:space="preserve">lice Act </w:t>
      </w:r>
      <w:r w:rsidR="00951931" w:rsidRPr="00893D84">
        <w:t>for review of an o</w:t>
      </w:r>
      <w:r w:rsidRPr="00893D84">
        <w:t xml:space="preserve">rder imposing ‘reviewable action’ under s 173 </w:t>
      </w:r>
      <w:r w:rsidR="00951931" w:rsidRPr="00893D84">
        <w:t xml:space="preserve">of the Police Act </w:t>
      </w:r>
      <w:r w:rsidRPr="00FD0DA0">
        <w:t>(</w:t>
      </w:r>
      <w:r w:rsidRPr="009E774A">
        <w:rPr>
          <w:b/>
          <w:bCs/>
        </w:rPr>
        <w:t>s</w:t>
      </w:r>
      <w:r w:rsidR="00930989" w:rsidRPr="009E774A">
        <w:rPr>
          <w:b/>
          <w:bCs/>
        </w:rPr>
        <w:t> </w:t>
      </w:r>
      <w:r w:rsidRPr="009E774A">
        <w:rPr>
          <w:b/>
          <w:bCs/>
        </w:rPr>
        <w:t>174 Review</w:t>
      </w:r>
      <w:r w:rsidRPr="00FD0DA0">
        <w:t>)</w:t>
      </w:r>
      <w:r w:rsidRPr="00893D84">
        <w:t>;</w:t>
      </w:r>
    </w:p>
    <w:p w14:paraId="52264FB0" w14:textId="3025DD81" w:rsidR="00AB4363" w:rsidRDefault="00AB4363" w:rsidP="00FD0DA0">
      <w:pPr>
        <w:pStyle w:val="2ndLevel"/>
        <w:ind w:hanging="720"/>
      </w:pPr>
      <w:r w:rsidRPr="00893D84">
        <w:t>applications</w:t>
      </w:r>
      <w:r>
        <w:t xml:space="preserve"> under s</w:t>
      </w:r>
      <w:r w:rsidR="00930989">
        <w:t> </w:t>
      </w:r>
      <w:r>
        <w:t xml:space="preserve">181E of the Police Act </w:t>
      </w:r>
      <w:r w:rsidR="00951931">
        <w:t>for review of an o</w:t>
      </w:r>
      <w:r>
        <w:t>rder under s</w:t>
      </w:r>
      <w:r w:rsidR="00951931">
        <w:t> </w:t>
      </w:r>
      <w:r>
        <w:t>181D</w:t>
      </w:r>
      <w:r w:rsidR="00951931">
        <w:t xml:space="preserve"> of the Police Act </w:t>
      </w:r>
      <w:r>
        <w:t xml:space="preserve">removing a police officer in whom the Commissioner of Police has lost confidence </w:t>
      </w:r>
      <w:r w:rsidRPr="00FD0DA0">
        <w:t>(</w:t>
      </w:r>
      <w:r w:rsidRPr="009E774A">
        <w:rPr>
          <w:b/>
          <w:bCs/>
        </w:rPr>
        <w:t>s</w:t>
      </w:r>
      <w:r w:rsidR="00930989" w:rsidRPr="009E774A">
        <w:rPr>
          <w:b/>
          <w:bCs/>
        </w:rPr>
        <w:t> </w:t>
      </w:r>
      <w:r w:rsidRPr="009E774A">
        <w:rPr>
          <w:b/>
          <w:bCs/>
        </w:rPr>
        <w:t>181E Review</w:t>
      </w:r>
      <w:r w:rsidRPr="00FD0DA0">
        <w:t>)</w:t>
      </w:r>
      <w:r>
        <w:t>; and</w:t>
      </w:r>
    </w:p>
    <w:p w14:paraId="22CBEAC1" w14:textId="5FE4970C" w:rsidR="00AB4363" w:rsidRDefault="00AB4363" w:rsidP="00FD0DA0">
      <w:pPr>
        <w:pStyle w:val="2ndLevel"/>
        <w:numPr>
          <w:ilvl w:val="0"/>
          <w:numId w:val="3"/>
        </w:numPr>
        <w:ind w:hanging="720"/>
      </w:pPr>
      <w:r>
        <w:t>applications under s</w:t>
      </w:r>
      <w:r w:rsidR="00930989">
        <w:t> </w:t>
      </w:r>
      <w:r>
        <w:t xml:space="preserve">186 of the </w:t>
      </w:r>
      <w:r w:rsidRPr="00C80917">
        <w:t>Police Act</w:t>
      </w:r>
      <w:r w:rsidRPr="00FD0DA0">
        <w:t xml:space="preserve"> </w:t>
      </w:r>
      <w:r>
        <w:t xml:space="preserve">providing for </w:t>
      </w:r>
      <w:r w:rsidR="00951931">
        <w:t xml:space="preserve">the </w:t>
      </w:r>
      <w:r>
        <w:t xml:space="preserve">appeal of a decision of the Commissioner of Police in relation to the provision of paid leave for absences caused by that officer being “hurt on duty” (as that term is understood under the </w:t>
      </w:r>
      <w:r w:rsidRPr="009E774A">
        <w:rPr>
          <w:i/>
          <w:iCs/>
        </w:rPr>
        <w:t>Police Regulation (Superannuation) Act 1906</w:t>
      </w:r>
      <w:r>
        <w:t>)</w:t>
      </w:r>
      <w:r w:rsidR="00930989">
        <w:t xml:space="preserve"> (</w:t>
      </w:r>
      <w:r w:rsidRPr="009E774A">
        <w:rPr>
          <w:b/>
          <w:bCs/>
        </w:rPr>
        <w:t>HOD Appeal</w:t>
      </w:r>
      <w:r w:rsidR="00930989">
        <w:t>)</w:t>
      </w:r>
      <w:r w:rsidR="00951931">
        <w:t>,</w:t>
      </w:r>
    </w:p>
    <w:p w14:paraId="5FF8DD8D" w14:textId="60F40486" w:rsidR="00AB4363" w:rsidRDefault="00951931" w:rsidP="00FD0DA0">
      <w:pPr>
        <w:pStyle w:val="2ndLevel"/>
        <w:numPr>
          <w:ilvl w:val="0"/>
          <w:numId w:val="0"/>
        </w:numPr>
        <w:ind w:left="720"/>
      </w:pPr>
      <w:r>
        <w:t xml:space="preserve">(collectively, </w:t>
      </w:r>
      <w:r w:rsidR="00AB4363" w:rsidRPr="00FD0DA0">
        <w:t>Part</w:t>
      </w:r>
      <w:r w:rsidR="0020039D">
        <w:t> </w:t>
      </w:r>
      <w:r w:rsidR="00AB4363" w:rsidRPr="00FD0DA0">
        <w:t>9 Applications</w:t>
      </w:r>
      <w:r>
        <w:t>)</w:t>
      </w:r>
      <w:r w:rsidR="00AB4363">
        <w:t>.</w:t>
      </w:r>
    </w:p>
    <w:p w14:paraId="781CDE02" w14:textId="05AB1936" w:rsidR="00AB4363" w:rsidRPr="00FD0DA0" w:rsidRDefault="00E633E9" w:rsidP="00FD0DA0">
      <w:pPr>
        <w:pStyle w:val="Heading2"/>
        <w:keepLines w:val="0"/>
        <w:spacing w:before="240" w:after="240"/>
        <w:rPr>
          <w:rFonts w:eastAsia="Times New Roman"/>
          <w:bCs/>
          <w:smallCaps/>
          <w:kern w:val="2"/>
          <w:shd w:val="clear" w:color="auto" w:fill="FFFFFF"/>
        </w:rPr>
      </w:pPr>
      <w:r>
        <w:rPr>
          <w:rFonts w:ascii="Arial" w:eastAsia="Times New Roman" w:hAnsi="Arial" w:cs="Arial"/>
          <w:b/>
          <w:bCs/>
          <w:smallCaps/>
          <w:color w:val="auto"/>
          <w:kern w:val="2"/>
          <w:sz w:val="24"/>
          <w:szCs w:val="24"/>
          <w:shd w:val="clear" w:color="auto" w:fill="FFFFFF"/>
        </w:rPr>
        <w:t>Commencement of proceedings</w:t>
      </w:r>
    </w:p>
    <w:p w14:paraId="08E58903" w14:textId="0FF2D754" w:rsidR="00AB4363" w:rsidRDefault="00AB4363" w:rsidP="00FD0DA0">
      <w:pPr>
        <w:pStyle w:val="1stLevel"/>
        <w:numPr>
          <w:ilvl w:val="0"/>
          <w:numId w:val="1"/>
        </w:numPr>
        <w:tabs>
          <w:tab w:val="clear" w:pos="720"/>
        </w:tabs>
      </w:pPr>
      <w:r>
        <w:t>A police officer</w:t>
      </w:r>
      <w:r w:rsidR="001919AC">
        <w:t xml:space="preserve"> (or registered organisation where available)</w:t>
      </w:r>
      <w:r>
        <w:t xml:space="preserve"> who wishes to review/appeal a decision of the Commissioner of Police under Part 9 of the Police Act must complete and file the approved form:</w:t>
      </w:r>
      <w:r w:rsidR="0020039D">
        <w:t xml:space="preserve"> </w:t>
      </w:r>
      <w:hyperlink r:id="rId14" w:history="1">
        <w:r w:rsidRPr="0020039D">
          <w:rPr>
            <w:rStyle w:val="Hyperlink"/>
          </w:rPr>
          <w:t>Form IRC8 – Application for review/appeal under Police Act 1990</w:t>
        </w:r>
      </w:hyperlink>
      <w:r w:rsidR="005A1B44">
        <w:t>.  The form may be filed via the Online Registry</w:t>
      </w:r>
      <w:r w:rsidR="00B37E68">
        <w:t>, in person at the Registry or by post</w:t>
      </w:r>
      <w:r w:rsidR="00E633E9">
        <w:t xml:space="preserve"> in accordance with r 2.5 of the Rules.</w:t>
      </w:r>
    </w:p>
    <w:p w14:paraId="68C5EA4A" w14:textId="723B7985" w:rsidR="00AB4363" w:rsidRPr="00FD0DA0" w:rsidRDefault="00AB4363" w:rsidP="00FD0DA0">
      <w:pPr>
        <w:pStyle w:val="1stLevel"/>
        <w:numPr>
          <w:ilvl w:val="0"/>
          <w:numId w:val="1"/>
        </w:numPr>
        <w:tabs>
          <w:tab w:val="clear" w:pos="720"/>
        </w:tabs>
      </w:pPr>
      <w:r>
        <w:t>The time limits for filing Part</w:t>
      </w:r>
      <w:r w:rsidR="00B17743">
        <w:t> </w:t>
      </w:r>
      <w:r>
        <w:t xml:space="preserve">9 Applications </w:t>
      </w:r>
      <w:r w:rsidR="004C6259">
        <w:t>are as follows</w:t>
      </w:r>
      <w:r>
        <w:t>:</w:t>
      </w:r>
    </w:p>
    <w:p w14:paraId="0BBA0D8D" w14:textId="70293B10" w:rsidR="00AB4363" w:rsidRDefault="00AB4363" w:rsidP="00FD0DA0">
      <w:pPr>
        <w:pStyle w:val="2ndLevel"/>
        <w:numPr>
          <w:ilvl w:val="0"/>
          <w:numId w:val="6"/>
        </w:numPr>
        <w:ind w:hanging="720"/>
      </w:pPr>
      <w:r>
        <w:lastRenderedPageBreak/>
        <w:t>A s</w:t>
      </w:r>
      <w:r w:rsidR="00B17743">
        <w:t> </w:t>
      </w:r>
      <w:r>
        <w:t>174 Review must be filed within 21 days of the date on which written notice of the making of the order to which it relates was served on the police officer.</w:t>
      </w:r>
      <w:r w:rsidR="0020039D">
        <w:rPr>
          <w:rStyle w:val="FootnoteReference"/>
        </w:rPr>
        <w:footnoteReference w:id="1"/>
      </w:r>
      <w:r>
        <w:t xml:space="preserve"> </w:t>
      </w:r>
      <w:r w:rsidR="0020039D">
        <w:t xml:space="preserve"> </w:t>
      </w:r>
      <w:r w:rsidRPr="00FD0DA0">
        <w:t>Time to file the application cannot be extended</w:t>
      </w:r>
      <w:r>
        <w:t xml:space="preserve">. </w:t>
      </w:r>
    </w:p>
    <w:p w14:paraId="7BA68694" w14:textId="6C8F03DB" w:rsidR="00AB4363" w:rsidRDefault="00AB4363" w:rsidP="00FD0DA0">
      <w:pPr>
        <w:pStyle w:val="2ndLevel"/>
        <w:ind w:left="1440" w:hanging="731"/>
      </w:pPr>
      <w:r>
        <w:t>A s</w:t>
      </w:r>
      <w:r w:rsidR="00B17743">
        <w:t> </w:t>
      </w:r>
      <w:r>
        <w:t xml:space="preserve">181E Review must be filed within </w:t>
      </w:r>
      <w:r w:rsidRPr="00FD0DA0">
        <w:t>14 days</w:t>
      </w:r>
      <w:r>
        <w:t xml:space="preserve"> of the date on which the police officer is given a copy of the order to which the application relates.</w:t>
      </w:r>
      <w:r w:rsidR="0020039D">
        <w:rPr>
          <w:rStyle w:val="FootnoteReference"/>
        </w:rPr>
        <w:footnoteReference w:id="2"/>
      </w:r>
      <w:r w:rsidR="0020039D">
        <w:t xml:space="preserve"> </w:t>
      </w:r>
      <w:r>
        <w:t xml:space="preserve"> </w:t>
      </w:r>
      <w:r w:rsidRPr="00FD0DA0">
        <w:t>Time to file the application cannot be extended</w:t>
      </w:r>
      <w:r>
        <w:t>.</w:t>
      </w:r>
    </w:p>
    <w:p w14:paraId="3E85C9FC" w14:textId="47E66F59" w:rsidR="00AB4363" w:rsidRPr="0029631E" w:rsidRDefault="00AB4363" w:rsidP="00FD0DA0">
      <w:pPr>
        <w:pStyle w:val="2ndLevel"/>
        <w:ind w:left="1440" w:hanging="731"/>
      </w:pPr>
      <w:r>
        <w:t xml:space="preserve">An HOD Appeal must </w:t>
      </w:r>
      <w:r w:rsidRPr="00201B79">
        <w:t xml:space="preserve">be lodged within 28 days after the </w:t>
      </w:r>
      <w:r>
        <w:t xml:space="preserve">police officer </w:t>
      </w:r>
      <w:r w:rsidRPr="00201B79">
        <w:t>is notified of the decision against which the appeal is to be made.</w:t>
      </w:r>
      <w:r w:rsidR="00A61808">
        <w:rPr>
          <w:rStyle w:val="FootnoteReference"/>
        </w:rPr>
        <w:footnoteReference w:id="3"/>
      </w:r>
      <w:r>
        <w:t xml:space="preserve"> </w:t>
      </w:r>
      <w:r w:rsidR="00956F9E">
        <w:t xml:space="preserve"> </w:t>
      </w:r>
      <w:r w:rsidRPr="00FD0DA0">
        <w:t>Time to file the application cannot be extended</w:t>
      </w:r>
      <w:r w:rsidRPr="0029631E">
        <w:t>.</w:t>
      </w:r>
    </w:p>
    <w:p w14:paraId="0EA013D0" w14:textId="2D7EEF23" w:rsidR="00AB4363" w:rsidRPr="0029631E" w:rsidRDefault="00AB4363" w:rsidP="00FD0DA0">
      <w:pPr>
        <w:pStyle w:val="1stLevel"/>
        <w:numPr>
          <w:ilvl w:val="0"/>
          <w:numId w:val="1"/>
        </w:numPr>
        <w:tabs>
          <w:tab w:val="clear" w:pos="720"/>
        </w:tabs>
      </w:pPr>
      <w:r w:rsidRPr="0029631E">
        <w:t xml:space="preserve">A respondent </w:t>
      </w:r>
      <w:r w:rsidR="003B56D5">
        <w:t xml:space="preserve">to a </w:t>
      </w:r>
      <w:r w:rsidRPr="0029631E">
        <w:t xml:space="preserve">Part 9 </w:t>
      </w:r>
      <w:r w:rsidR="003B56D5">
        <w:t xml:space="preserve">Application </w:t>
      </w:r>
      <w:r w:rsidRPr="0029631E">
        <w:t>must file and serve a notice in reply to the application within 7 days of being served the application.</w:t>
      </w:r>
      <w:r w:rsidR="0040121F">
        <w:rPr>
          <w:rStyle w:val="FootnoteReference"/>
        </w:rPr>
        <w:footnoteReference w:id="4"/>
      </w:r>
    </w:p>
    <w:p w14:paraId="5669214D" w14:textId="77777777" w:rsidR="00AB4363" w:rsidRPr="00FD0DA0" w:rsidRDefault="00AB4363" w:rsidP="00FD0DA0">
      <w:pPr>
        <w:pStyle w:val="Heading2"/>
        <w:keepLines w:val="0"/>
        <w:spacing w:before="240" w:after="240"/>
        <w:rPr>
          <w:rFonts w:eastAsia="Times New Roman"/>
          <w:bCs/>
          <w:smallCaps/>
          <w:kern w:val="2"/>
          <w:shd w:val="clear" w:color="auto" w:fill="FFFFFF"/>
        </w:rPr>
      </w:pPr>
      <w:r w:rsidRPr="00FD0DA0">
        <w:rPr>
          <w:rFonts w:ascii="Arial" w:eastAsia="Times New Roman" w:hAnsi="Arial" w:cs="Arial"/>
          <w:b/>
          <w:bCs/>
          <w:smallCaps/>
          <w:color w:val="auto"/>
          <w:kern w:val="2"/>
          <w:sz w:val="24"/>
          <w:szCs w:val="24"/>
          <w:shd w:val="clear" w:color="auto" w:fill="FFFFFF"/>
        </w:rPr>
        <w:t>Allocation of a Listing Date</w:t>
      </w:r>
    </w:p>
    <w:p w14:paraId="270398D7" w14:textId="348A49D2" w:rsidR="00AB4363" w:rsidRDefault="00AB4363" w:rsidP="00FD0DA0">
      <w:pPr>
        <w:pStyle w:val="1stLevel"/>
        <w:numPr>
          <w:ilvl w:val="0"/>
          <w:numId w:val="1"/>
        </w:numPr>
        <w:tabs>
          <w:tab w:val="clear" w:pos="720"/>
        </w:tabs>
      </w:pPr>
      <w:r>
        <w:t xml:space="preserve">After </w:t>
      </w:r>
      <w:r w:rsidR="00956F9E">
        <w:t xml:space="preserve">a </w:t>
      </w:r>
      <w:r w:rsidR="00A245C5">
        <w:t>Part 9 A</w:t>
      </w:r>
      <w:r>
        <w:t xml:space="preserve">pplication has been filed </w:t>
      </w:r>
      <w:r w:rsidR="00956F9E">
        <w:t xml:space="preserve">it </w:t>
      </w:r>
      <w:r w:rsidRPr="00A53C19">
        <w:t xml:space="preserve">will be listed for </w:t>
      </w:r>
      <w:r>
        <w:t>C</w:t>
      </w:r>
      <w:r w:rsidRPr="00A53C19">
        <w:t>onciliation</w:t>
      </w:r>
      <w:r w:rsidR="005F181C">
        <w:t xml:space="preserve">, usually </w:t>
      </w:r>
      <w:r>
        <w:t xml:space="preserve">within </w:t>
      </w:r>
      <w:r w:rsidRPr="00FD0DA0">
        <w:t>14 days</w:t>
      </w:r>
      <w:r w:rsidRPr="00A53C19">
        <w:t>.</w:t>
      </w:r>
    </w:p>
    <w:p w14:paraId="500B3078" w14:textId="77777777" w:rsidR="00AB4363" w:rsidRPr="00FD0DA0" w:rsidRDefault="00AB4363" w:rsidP="00FD0DA0">
      <w:pPr>
        <w:pStyle w:val="Heading2"/>
        <w:keepLines w:val="0"/>
        <w:spacing w:before="240" w:after="240"/>
        <w:rPr>
          <w:rFonts w:eastAsia="Times New Roman"/>
          <w:bCs/>
          <w:smallCaps/>
          <w:kern w:val="2"/>
          <w:shd w:val="clear" w:color="auto" w:fill="FFFFFF"/>
        </w:rPr>
      </w:pPr>
      <w:r w:rsidRPr="00FD0DA0">
        <w:rPr>
          <w:rFonts w:ascii="Arial" w:eastAsia="Times New Roman" w:hAnsi="Arial" w:cs="Arial"/>
          <w:b/>
          <w:bCs/>
          <w:smallCaps/>
          <w:color w:val="auto"/>
          <w:kern w:val="2"/>
          <w:sz w:val="24"/>
          <w:szCs w:val="24"/>
          <w:shd w:val="clear" w:color="auto" w:fill="FFFFFF"/>
        </w:rPr>
        <w:t>Conciliation</w:t>
      </w:r>
    </w:p>
    <w:p w14:paraId="584F468E" w14:textId="383EDA5A" w:rsidR="00AB4363" w:rsidRDefault="00AB4363" w:rsidP="00FD0DA0">
      <w:pPr>
        <w:pStyle w:val="1stLevel"/>
        <w:numPr>
          <w:ilvl w:val="0"/>
          <w:numId w:val="1"/>
        </w:numPr>
        <w:tabs>
          <w:tab w:val="clear" w:pos="720"/>
        </w:tabs>
      </w:pPr>
      <w:r w:rsidRPr="00F4343E">
        <w:t xml:space="preserve">Parties, legal practitioners, industrial agents and others who appear before the Commission </w:t>
      </w:r>
      <w:r w:rsidR="005F181C">
        <w:t>shall</w:t>
      </w:r>
      <w:r w:rsidRPr="00F4343E">
        <w:t xml:space="preserve"> do all they can to facilitate the fair and prompt disposal of matters before the Commission.</w:t>
      </w:r>
    </w:p>
    <w:p w14:paraId="7452A30E" w14:textId="5E4B7919" w:rsidR="00AB4363" w:rsidRDefault="00E96BE6" w:rsidP="00FD0DA0">
      <w:pPr>
        <w:pStyle w:val="1stLevel"/>
        <w:numPr>
          <w:ilvl w:val="0"/>
          <w:numId w:val="1"/>
        </w:numPr>
        <w:tabs>
          <w:tab w:val="clear" w:pos="720"/>
        </w:tabs>
      </w:pPr>
      <w:r>
        <w:t xml:space="preserve">Parties are expected to have a person present at the Conciliation with sufficient authority to </w:t>
      </w:r>
      <w:r w:rsidR="001926B7">
        <w:t>make decisions to enable the resolution of the matter.</w:t>
      </w:r>
    </w:p>
    <w:p w14:paraId="21463863" w14:textId="10719C16" w:rsidR="00AB4363" w:rsidRDefault="00AB4363" w:rsidP="00FD0DA0">
      <w:pPr>
        <w:pStyle w:val="1stLevel"/>
        <w:numPr>
          <w:ilvl w:val="0"/>
          <w:numId w:val="1"/>
        </w:numPr>
        <w:tabs>
          <w:tab w:val="clear" w:pos="720"/>
        </w:tabs>
      </w:pPr>
      <w:r w:rsidRPr="00F4343E">
        <w:t>Parties and their representatives should:</w:t>
      </w:r>
    </w:p>
    <w:p w14:paraId="1DEE01D0" w14:textId="717DAFF6" w:rsidR="00AB4363" w:rsidRDefault="00AB4363" w:rsidP="00FD0DA0">
      <w:pPr>
        <w:pStyle w:val="2ndLevel"/>
        <w:numPr>
          <w:ilvl w:val="0"/>
          <w:numId w:val="8"/>
        </w:numPr>
        <w:ind w:hanging="720"/>
      </w:pPr>
      <w:r w:rsidRPr="00F4343E">
        <w:t>identify the real issues in dispute prior to the conciliation;</w:t>
      </w:r>
    </w:p>
    <w:p w14:paraId="4EC845DA" w14:textId="7DD46481" w:rsidR="00AB4363" w:rsidRDefault="00AB4363" w:rsidP="00FD0DA0">
      <w:pPr>
        <w:pStyle w:val="2ndLevel"/>
        <w:ind w:left="1440" w:hanging="731"/>
      </w:pPr>
      <w:r w:rsidRPr="00F4343E">
        <w:t xml:space="preserve">establish parameters in which they are willing to resolve the matter at the conciliation. </w:t>
      </w:r>
      <w:r w:rsidR="00956F9E">
        <w:t xml:space="preserve"> </w:t>
      </w:r>
      <w:r w:rsidRPr="00F4343E">
        <w:t>Such parameters do not need to be divulged nor maintained at the conciliation but will assist the Commission in assisting the parties to resolve the matter;</w:t>
      </w:r>
    </w:p>
    <w:p w14:paraId="742CAC5C" w14:textId="582097AE" w:rsidR="00AB4363" w:rsidRDefault="00AB4363" w:rsidP="00FD0DA0">
      <w:pPr>
        <w:pStyle w:val="2ndLevel"/>
        <w:ind w:left="1440" w:hanging="731"/>
      </w:pPr>
      <w:r w:rsidRPr="00F4343E">
        <w:t>make contact with the opposing party prior to the conciliation to attempt to narrow the issues in dispute and to explore the basis on which the matter might be resolved; and</w:t>
      </w:r>
    </w:p>
    <w:p w14:paraId="70DD4266" w14:textId="7567E0EC" w:rsidR="00AB4363" w:rsidRDefault="00AB4363" w:rsidP="00FD0DA0">
      <w:pPr>
        <w:pStyle w:val="2ndLevel"/>
        <w:ind w:left="1440" w:hanging="731"/>
      </w:pPr>
      <w:r w:rsidRPr="00F4343E">
        <w:t>both before and during the conciliation, use their best endeavours to resolve the issues in dispute, including by ensuring the participation in the conciliation by individuals with authority to settle proceedings.</w:t>
      </w:r>
    </w:p>
    <w:p w14:paraId="70B74D81" w14:textId="2D2CC176" w:rsidR="002B5976" w:rsidRDefault="00AB4363" w:rsidP="00FD0DA0">
      <w:pPr>
        <w:pStyle w:val="1stLevel"/>
        <w:numPr>
          <w:ilvl w:val="0"/>
          <w:numId w:val="1"/>
        </w:numPr>
        <w:tabs>
          <w:tab w:val="clear" w:pos="720"/>
        </w:tabs>
      </w:pPr>
      <w:r w:rsidRPr="00F4343E">
        <w:t>Ordinarily, there should be one conciliation</w:t>
      </w:r>
      <w:r>
        <w:t>.</w:t>
      </w:r>
      <w:r w:rsidR="00B2797B">
        <w:t xml:space="preserve"> </w:t>
      </w:r>
      <w:r>
        <w:t xml:space="preserve"> A</w:t>
      </w:r>
      <w:r w:rsidRPr="00F4343E">
        <w:t xml:space="preserve"> </w:t>
      </w:r>
      <w:r w:rsidR="00FD64DD" w:rsidRPr="001D4338">
        <w:t xml:space="preserve">Commission member </w:t>
      </w:r>
      <w:r w:rsidRPr="00F4343E">
        <w:t>may permit further conciliation conferences at their discretion</w:t>
      </w:r>
      <w:r>
        <w:t>.</w:t>
      </w:r>
      <w:r w:rsidR="002B5976" w:rsidRPr="002B5976">
        <w:t xml:space="preserve"> </w:t>
      </w:r>
      <w:r w:rsidR="0093706E">
        <w:t xml:space="preserve"> </w:t>
      </w:r>
      <w:r w:rsidR="002B5976" w:rsidRPr="00F4343E">
        <w:t xml:space="preserve">If a party fails to appear at a </w:t>
      </w:r>
      <w:r w:rsidR="002B5976">
        <w:t>C</w:t>
      </w:r>
      <w:r w:rsidR="002B5976" w:rsidRPr="00F4343E">
        <w:t xml:space="preserve">onciliation </w:t>
      </w:r>
      <w:r w:rsidR="002B5976" w:rsidRPr="00F4343E">
        <w:lastRenderedPageBreak/>
        <w:t xml:space="preserve">and does not provide a clear and compelling reason for non-attendance, this may result in the </w:t>
      </w:r>
      <w:r w:rsidR="002B5976">
        <w:t xml:space="preserve">application </w:t>
      </w:r>
      <w:r w:rsidR="002B5976" w:rsidRPr="00F4343E">
        <w:t>being determined in their absence.</w:t>
      </w:r>
    </w:p>
    <w:p w14:paraId="00A0A6DE" w14:textId="70CFFE99" w:rsidR="00010467" w:rsidRDefault="00353DBE" w:rsidP="00FD0DA0">
      <w:pPr>
        <w:pStyle w:val="1stLevel"/>
        <w:numPr>
          <w:ilvl w:val="0"/>
          <w:numId w:val="1"/>
        </w:numPr>
        <w:tabs>
          <w:tab w:val="clear" w:pos="720"/>
        </w:tabs>
      </w:pPr>
      <w:r>
        <w:t xml:space="preserve">Hearing dates and other </w:t>
      </w:r>
      <w:r w:rsidR="00146D5C">
        <w:t>d</w:t>
      </w:r>
      <w:r>
        <w:t xml:space="preserve">irections </w:t>
      </w:r>
      <w:r w:rsidRPr="009F2734">
        <w:t xml:space="preserve">will usually form part of the directions made by the </w:t>
      </w:r>
      <w:r w:rsidR="00FD64DD" w:rsidRPr="001D4338">
        <w:t xml:space="preserve">Commission member </w:t>
      </w:r>
      <w:r w:rsidRPr="009F2734">
        <w:t xml:space="preserve">following </w:t>
      </w:r>
      <w:r>
        <w:t xml:space="preserve">an </w:t>
      </w:r>
      <w:r w:rsidRPr="009F2734">
        <w:t xml:space="preserve">unsuccessful conciliation. </w:t>
      </w:r>
      <w:r w:rsidR="003A0729">
        <w:t xml:space="preserve"> </w:t>
      </w:r>
      <w:r w:rsidR="00010467" w:rsidRPr="009F2734">
        <w:t xml:space="preserve">Parties should attend the conciliation and/or any subsequent directions hearing with a reasonable estimate of the time required for the hearing of the </w:t>
      </w:r>
      <w:r w:rsidR="00010467">
        <w:t>application</w:t>
      </w:r>
      <w:r w:rsidR="00010467" w:rsidRPr="009F2734">
        <w:t xml:space="preserve"> and available dates for the hearing</w:t>
      </w:r>
      <w:r w:rsidR="002B5976">
        <w:t>.</w:t>
      </w:r>
    </w:p>
    <w:p w14:paraId="3DF5FEF4" w14:textId="77777777" w:rsidR="00AB4363" w:rsidRPr="00FD0DA0" w:rsidRDefault="00AB4363" w:rsidP="00FD0DA0">
      <w:pPr>
        <w:pStyle w:val="Heading2"/>
        <w:keepLines w:val="0"/>
        <w:spacing w:before="240" w:after="240"/>
        <w:rPr>
          <w:rFonts w:eastAsia="Times New Roman"/>
          <w:bCs/>
          <w:smallCaps/>
          <w:kern w:val="2"/>
          <w:shd w:val="clear" w:color="auto" w:fill="FFFFFF"/>
        </w:rPr>
      </w:pPr>
      <w:r w:rsidRPr="00FD0DA0">
        <w:rPr>
          <w:rFonts w:ascii="Arial" w:eastAsia="Times New Roman" w:hAnsi="Arial" w:cs="Arial"/>
          <w:b/>
          <w:bCs/>
          <w:smallCaps/>
          <w:color w:val="auto"/>
          <w:kern w:val="2"/>
          <w:sz w:val="24"/>
          <w:szCs w:val="24"/>
          <w:shd w:val="clear" w:color="auto" w:fill="FFFFFF"/>
        </w:rPr>
        <w:t xml:space="preserve">Preliminary Issues </w:t>
      </w:r>
    </w:p>
    <w:p w14:paraId="4415AE60" w14:textId="76671A75" w:rsidR="004C422C" w:rsidRDefault="00AB4363" w:rsidP="00304C10">
      <w:pPr>
        <w:pStyle w:val="1stLevel"/>
        <w:numPr>
          <w:ilvl w:val="0"/>
          <w:numId w:val="1"/>
        </w:numPr>
        <w:tabs>
          <w:tab w:val="clear" w:pos="720"/>
        </w:tabs>
      </w:pPr>
      <w:r w:rsidRPr="009F2734">
        <w:t xml:space="preserve">If a </w:t>
      </w:r>
      <w:r w:rsidR="004C422C">
        <w:t xml:space="preserve">party wishes to raise a </w:t>
      </w:r>
      <w:r w:rsidRPr="009F2734">
        <w:t>preliminary issue</w:t>
      </w:r>
      <w:r w:rsidR="004C422C">
        <w:t>,</w:t>
      </w:r>
      <w:r w:rsidRPr="009F2734">
        <w:t xml:space="preserve"> such as a jurisdictional challenge</w:t>
      </w:r>
      <w:r w:rsidR="004C422C">
        <w:t>, it should be raised by way of a Notice of Motion with an affidavit in support.</w:t>
      </w:r>
    </w:p>
    <w:p w14:paraId="5FED6281" w14:textId="12391867" w:rsidR="001D4338" w:rsidRPr="001D4338" w:rsidRDefault="001D4338" w:rsidP="00FD0DA0">
      <w:pPr>
        <w:pStyle w:val="1stLevel"/>
        <w:numPr>
          <w:ilvl w:val="0"/>
          <w:numId w:val="1"/>
        </w:numPr>
        <w:tabs>
          <w:tab w:val="clear" w:pos="720"/>
        </w:tabs>
      </w:pPr>
      <w:r w:rsidRPr="001D4338">
        <w:t xml:space="preserve">A respondent in their </w:t>
      </w:r>
      <w:r w:rsidR="00E26361">
        <w:t>notice in reply</w:t>
      </w:r>
      <w:r w:rsidRPr="001D4338">
        <w:t xml:space="preserve">, or any party in their </w:t>
      </w:r>
      <w:r w:rsidR="00E26361">
        <w:t>Notice of Motion</w:t>
      </w:r>
      <w:r w:rsidRPr="001D4338">
        <w:t>, may indicate that they do not object to conciliation taking place prior to the hearing of a preliminary issue.</w:t>
      </w:r>
    </w:p>
    <w:p w14:paraId="30E8CF4C" w14:textId="7E3BCC7A" w:rsidR="001D4338" w:rsidRDefault="001D4338" w:rsidP="001D4338">
      <w:pPr>
        <w:pStyle w:val="1stLevel"/>
        <w:numPr>
          <w:ilvl w:val="0"/>
          <w:numId w:val="1"/>
        </w:numPr>
        <w:tabs>
          <w:tab w:val="clear" w:pos="720"/>
        </w:tabs>
      </w:pPr>
      <w:r w:rsidRPr="001D4338">
        <w:t>In deciding whether a preliminary issue will be determined prior to conciliation, the Commission member will consider the overriding objective of the just, quick and cheap resolution of the real issues in dispute and the interests of justice.</w:t>
      </w:r>
    </w:p>
    <w:p w14:paraId="22A1F875" w14:textId="74D8ABD3" w:rsidR="006F73CA" w:rsidRDefault="001D4338" w:rsidP="00FD0DA0">
      <w:pPr>
        <w:pStyle w:val="1stLevel"/>
        <w:numPr>
          <w:ilvl w:val="0"/>
          <w:numId w:val="1"/>
        </w:numPr>
        <w:tabs>
          <w:tab w:val="clear" w:pos="720"/>
        </w:tabs>
      </w:pPr>
      <w:r w:rsidRPr="001D4338">
        <w:t>Upon deciding that a preliminary issue needs to be determined the Commission will set a date to hear that question and issue directions.  The Commission can, however, determine that a preliminary question be determined at the same time as the substantive issues in the matter.</w:t>
      </w:r>
    </w:p>
    <w:p w14:paraId="07F8521E" w14:textId="6BF96A48" w:rsidR="00AB4363" w:rsidRPr="00FD0DA0" w:rsidRDefault="00AB4363" w:rsidP="00FD0DA0">
      <w:pPr>
        <w:pStyle w:val="Heading2"/>
        <w:keepLines w:val="0"/>
        <w:spacing w:before="240" w:after="240"/>
        <w:rPr>
          <w:rFonts w:eastAsia="Times New Roman"/>
          <w:bCs/>
          <w:smallCaps/>
          <w:kern w:val="2"/>
          <w:shd w:val="clear" w:color="auto" w:fill="FFFFFF"/>
        </w:rPr>
      </w:pPr>
      <w:r w:rsidRPr="00FD0DA0">
        <w:rPr>
          <w:rFonts w:ascii="Arial" w:eastAsia="Times New Roman" w:hAnsi="Arial" w:cs="Arial"/>
          <w:b/>
          <w:bCs/>
          <w:smallCaps/>
          <w:color w:val="auto"/>
          <w:kern w:val="2"/>
          <w:sz w:val="24"/>
          <w:szCs w:val="24"/>
          <w:shd w:val="clear" w:color="auto" w:fill="FFFFFF"/>
        </w:rPr>
        <w:t>Object</w:t>
      </w:r>
      <w:r w:rsidR="00E515B3" w:rsidRPr="00FD0DA0">
        <w:rPr>
          <w:rFonts w:ascii="Arial" w:eastAsia="Times New Roman" w:hAnsi="Arial" w:cs="Arial"/>
          <w:b/>
          <w:bCs/>
          <w:smallCaps/>
          <w:color w:val="auto"/>
          <w:kern w:val="2"/>
          <w:sz w:val="24"/>
          <w:szCs w:val="24"/>
          <w:shd w:val="clear" w:color="auto" w:fill="FFFFFF"/>
        </w:rPr>
        <w:t>ion</w:t>
      </w:r>
      <w:r w:rsidRPr="00FD0DA0">
        <w:rPr>
          <w:rFonts w:ascii="Arial" w:eastAsia="Times New Roman" w:hAnsi="Arial" w:cs="Arial"/>
          <w:b/>
          <w:bCs/>
          <w:smallCaps/>
          <w:color w:val="auto"/>
          <w:kern w:val="2"/>
          <w:sz w:val="24"/>
          <w:szCs w:val="24"/>
          <w:shd w:val="clear" w:color="auto" w:fill="FFFFFF"/>
        </w:rPr>
        <w:t xml:space="preserve"> to Conciliating </w:t>
      </w:r>
      <w:r w:rsidR="00FD64DD" w:rsidRPr="00FD64DD">
        <w:rPr>
          <w:rFonts w:ascii="Arial" w:eastAsia="Times New Roman" w:hAnsi="Arial" w:cs="Arial"/>
          <w:b/>
          <w:bCs/>
          <w:smallCaps/>
          <w:color w:val="auto"/>
          <w:kern w:val="2"/>
          <w:sz w:val="24"/>
          <w:szCs w:val="24"/>
          <w:shd w:val="clear" w:color="auto" w:fill="FFFFFF"/>
        </w:rPr>
        <w:t xml:space="preserve">Commission member </w:t>
      </w:r>
      <w:r w:rsidRPr="00FD0DA0">
        <w:rPr>
          <w:rFonts w:ascii="Arial" w:eastAsia="Times New Roman" w:hAnsi="Arial" w:cs="Arial"/>
          <w:b/>
          <w:bCs/>
          <w:smallCaps/>
          <w:color w:val="auto"/>
          <w:kern w:val="2"/>
          <w:sz w:val="24"/>
          <w:szCs w:val="24"/>
          <w:shd w:val="clear" w:color="auto" w:fill="FFFFFF"/>
        </w:rPr>
        <w:t xml:space="preserve">Arbitrating the Matter </w:t>
      </w:r>
    </w:p>
    <w:p w14:paraId="5C72F7CD" w14:textId="227CEE5D" w:rsidR="00AB4363" w:rsidRDefault="00D23428" w:rsidP="00FD0DA0">
      <w:pPr>
        <w:pStyle w:val="1stLevel"/>
        <w:numPr>
          <w:ilvl w:val="0"/>
          <w:numId w:val="1"/>
        </w:numPr>
        <w:tabs>
          <w:tab w:val="clear" w:pos="720"/>
        </w:tabs>
      </w:pPr>
      <w:r>
        <w:t xml:space="preserve">A member </w:t>
      </w:r>
      <w:r w:rsidR="00AB4363">
        <w:t>of the Commission who is involved in any endeavour to settle a</w:t>
      </w:r>
      <w:r>
        <w:t xml:space="preserve"> s</w:t>
      </w:r>
      <w:r w:rsidR="005662B6">
        <w:t> </w:t>
      </w:r>
      <w:r>
        <w:t xml:space="preserve">181E Review </w:t>
      </w:r>
      <w:r w:rsidR="00AB4363">
        <w:t xml:space="preserve">must not subsequently </w:t>
      </w:r>
      <w:r w:rsidR="00D1648A">
        <w:t>hear the review.</w:t>
      </w:r>
      <w:r w:rsidR="00AB4363">
        <w:t xml:space="preserve">  </w:t>
      </w:r>
      <w:r w:rsidR="00AB4363" w:rsidRPr="00FD0DA0">
        <w:t>No objection needs to be made by a party to the proceedings.</w:t>
      </w:r>
    </w:p>
    <w:p w14:paraId="41996870" w14:textId="7FFEA6BD" w:rsidR="00AB4363" w:rsidRDefault="00AB4363" w:rsidP="00FD0DA0">
      <w:pPr>
        <w:pStyle w:val="1stLevel"/>
        <w:numPr>
          <w:ilvl w:val="0"/>
          <w:numId w:val="1"/>
        </w:numPr>
        <w:tabs>
          <w:tab w:val="clear" w:pos="720"/>
        </w:tabs>
      </w:pPr>
      <w:r>
        <w:t>In a s</w:t>
      </w:r>
      <w:r w:rsidR="00265085">
        <w:t> </w:t>
      </w:r>
      <w:r>
        <w:t xml:space="preserve">174 Review or an HOD Appeal, any member of the Commission involved in an attempt to resolve the matter via Conciliation cannot sit to hear and determine the substantive review/appeal proceedings, </w:t>
      </w:r>
      <w:r w:rsidRPr="00FD0DA0">
        <w:t>if a party objects</w:t>
      </w:r>
      <w:r w:rsidR="009E774A">
        <w:t>.</w:t>
      </w:r>
      <w:r w:rsidR="00265085">
        <w:rPr>
          <w:rStyle w:val="FootnoteReference"/>
        </w:rPr>
        <w:footnoteReference w:id="5"/>
      </w:r>
    </w:p>
    <w:p w14:paraId="354858EB" w14:textId="21AEFF3D" w:rsidR="00AB4363" w:rsidRDefault="00D1648A" w:rsidP="00FD0DA0">
      <w:pPr>
        <w:pStyle w:val="1stLevel"/>
        <w:numPr>
          <w:ilvl w:val="0"/>
          <w:numId w:val="1"/>
        </w:numPr>
        <w:tabs>
          <w:tab w:val="clear" w:pos="720"/>
        </w:tabs>
      </w:pPr>
      <w:r>
        <w:t>A</w:t>
      </w:r>
      <w:r w:rsidR="00AB4363" w:rsidRPr="009F2734">
        <w:t xml:space="preserve">ny objection to the </w:t>
      </w:r>
      <w:r w:rsidR="00E515B3">
        <w:t xml:space="preserve">Commission </w:t>
      </w:r>
      <w:r w:rsidR="00582D53">
        <w:t>m</w:t>
      </w:r>
      <w:r w:rsidR="00E515B3">
        <w:t>ember</w:t>
      </w:r>
      <w:r w:rsidR="00AB4363" w:rsidRPr="009F2734">
        <w:t xml:space="preserve"> who conducted a conciliation </w:t>
      </w:r>
      <w:r w:rsidR="00582D53">
        <w:t xml:space="preserve">continuing to </w:t>
      </w:r>
      <w:r w:rsidR="00AB4363" w:rsidRPr="009F2734">
        <w:t>hear</w:t>
      </w:r>
      <w:r w:rsidR="00582D53">
        <w:t xml:space="preserve"> </w:t>
      </w:r>
      <w:r w:rsidR="00AB4363" w:rsidRPr="009F2734">
        <w:t xml:space="preserve">the </w:t>
      </w:r>
      <w:r w:rsidR="00AB4363">
        <w:t>application</w:t>
      </w:r>
      <w:r w:rsidR="00AB4363" w:rsidRPr="009F2734">
        <w:t xml:space="preserve"> should be </w:t>
      </w:r>
      <w:r w:rsidR="00AB4363">
        <w:t xml:space="preserve">made in writing addressed to the </w:t>
      </w:r>
      <w:r w:rsidR="007532CD">
        <w:t xml:space="preserve">Commission member </w:t>
      </w:r>
      <w:r w:rsidR="007762A1">
        <w:t xml:space="preserve">who conducted the Conciliation or the </w:t>
      </w:r>
      <w:r w:rsidR="00AB4363">
        <w:t xml:space="preserve">Industrial Registrar, and </w:t>
      </w:r>
      <w:r w:rsidR="00AB4363" w:rsidRPr="00FD0DA0">
        <w:t>lodged within seven days of the date of the conciliation.</w:t>
      </w:r>
    </w:p>
    <w:p w14:paraId="33880D1C" w14:textId="51827936" w:rsidR="00AB4363" w:rsidRDefault="00AB4363" w:rsidP="00FD0DA0">
      <w:pPr>
        <w:pStyle w:val="1stLevel"/>
        <w:numPr>
          <w:ilvl w:val="0"/>
          <w:numId w:val="1"/>
        </w:numPr>
        <w:tabs>
          <w:tab w:val="clear" w:pos="720"/>
        </w:tabs>
      </w:pPr>
      <w:r>
        <w:t>A</w:t>
      </w:r>
      <w:r w:rsidRPr="009F2734">
        <w:t xml:space="preserve"> Commission</w:t>
      </w:r>
      <w:r w:rsidR="00677337">
        <w:t xml:space="preserve"> member </w:t>
      </w:r>
      <w:r w:rsidRPr="009F2734">
        <w:t xml:space="preserve">is not taken to have attempted conciliation merely because: </w:t>
      </w:r>
    </w:p>
    <w:p w14:paraId="056BA791" w14:textId="1570F359" w:rsidR="00AB4363" w:rsidRDefault="00AB4363" w:rsidP="00FD0DA0">
      <w:pPr>
        <w:pStyle w:val="2ndLevel"/>
        <w:numPr>
          <w:ilvl w:val="0"/>
          <w:numId w:val="14"/>
        </w:numPr>
        <w:ind w:hanging="720"/>
      </w:pPr>
      <w:r w:rsidRPr="009F2734">
        <w:t xml:space="preserve">the </w:t>
      </w:r>
      <w:r w:rsidR="00677337" w:rsidRPr="009F2734">
        <w:t>Commission</w:t>
      </w:r>
      <w:r w:rsidR="00677337">
        <w:t xml:space="preserve"> member </w:t>
      </w:r>
      <w:r w:rsidRPr="009F2734">
        <w:t xml:space="preserve">attempted conciliation after commencing the hearing; or </w:t>
      </w:r>
    </w:p>
    <w:p w14:paraId="0E082897" w14:textId="1B2206C4" w:rsidR="00AB4363" w:rsidRDefault="00AB4363" w:rsidP="00FD0DA0">
      <w:pPr>
        <w:pStyle w:val="2ndLevel"/>
        <w:numPr>
          <w:ilvl w:val="0"/>
          <w:numId w:val="8"/>
        </w:numPr>
        <w:ind w:hanging="720"/>
      </w:pPr>
      <w:r w:rsidRPr="009F2734">
        <w:t xml:space="preserve">the </w:t>
      </w:r>
      <w:r w:rsidR="00677337" w:rsidRPr="009F2734">
        <w:t>Commission</w:t>
      </w:r>
      <w:r w:rsidR="00677337">
        <w:t xml:space="preserve"> member </w:t>
      </w:r>
      <w:r w:rsidRPr="009F2734">
        <w:t xml:space="preserve">arranged or gave directions for a conference of the parties involved in the matter, or their representatives, to be presided over by the </w:t>
      </w:r>
      <w:r w:rsidR="00677337" w:rsidRPr="009F2734">
        <w:t>Commission</w:t>
      </w:r>
      <w:r w:rsidR="00677337">
        <w:t xml:space="preserve"> member</w:t>
      </w:r>
      <w:r w:rsidRPr="009F2734">
        <w:t xml:space="preserve">, but the conference did not take place or was not presided over by the </w:t>
      </w:r>
      <w:r w:rsidR="00677337" w:rsidRPr="009F2734">
        <w:t>Commission</w:t>
      </w:r>
      <w:r w:rsidR="00677337">
        <w:t xml:space="preserve"> member</w:t>
      </w:r>
      <w:r w:rsidRPr="009F2734">
        <w:t xml:space="preserve">; or </w:t>
      </w:r>
    </w:p>
    <w:p w14:paraId="6A09E432" w14:textId="27D2B43D" w:rsidR="00AB4363" w:rsidRDefault="00AB4363" w:rsidP="00FD0DA0">
      <w:pPr>
        <w:pStyle w:val="2ndLevel"/>
        <w:numPr>
          <w:ilvl w:val="0"/>
          <w:numId w:val="8"/>
        </w:numPr>
        <w:ind w:hanging="720"/>
      </w:pPr>
      <w:r w:rsidRPr="009F2734">
        <w:lastRenderedPageBreak/>
        <w:t xml:space="preserve">the </w:t>
      </w:r>
      <w:r w:rsidR="00677337" w:rsidRPr="009F2734">
        <w:t>Commission</w:t>
      </w:r>
      <w:r w:rsidR="00677337">
        <w:t xml:space="preserve"> member </w:t>
      </w:r>
      <w:r w:rsidRPr="009F2734">
        <w:t xml:space="preserve">arranged or gave directions for the parties or their representatives to confer among themselves at a conference at which the </w:t>
      </w:r>
      <w:r w:rsidR="00677337" w:rsidRPr="009F2734">
        <w:t>Commission</w:t>
      </w:r>
      <w:r w:rsidR="00677337">
        <w:t xml:space="preserve"> member </w:t>
      </w:r>
      <w:r w:rsidRPr="009F2734">
        <w:t>was not present.</w:t>
      </w:r>
    </w:p>
    <w:p w14:paraId="18844CF9" w14:textId="59595EC7" w:rsidR="00AB4363" w:rsidRDefault="00AB4363" w:rsidP="00FD0DA0">
      <w:pPr>
        <w:pStyle w:val="1stLevel"/>
        <w:numPr>
          <w:ilvl w:val="0"/>
          <w:numId w:val="1"/>
        </w:numPr>
        <w:tabs>
          <w:tab w:val="clear" w:pos="720"/>
        </w:tabs>
      </w:pPr>
      <w:r w:rsidRPr="009F2734">
        <w:t xml:space="preserve">If a party exercises its rights </w:t>
      </w:r>
      <w:r>
        <w:t xml:space="preserve">to object, </w:t>
      </w:r>
      <w:r w:rsidRPr="009F2734">
        <w:t xml:space="preserve">the </w:t>
      </w:r>
      <w:r w:rsidR="00677337" w:rsidRPr="009F2734">
        <w:t>Commission</w:t>
      </w:r>
      <w:r w:rsidR="00677337">
        <w:t xml:space="preserve"> member </w:t>
      </w:r>
      <w:r w:rsidRPr="009F2734">
        <w:t xml:space="preserve">will forward the file to the Industrial Registrar for reallocation by the </w:t>
      </w:r>
      <w:r>
        <w:t>President of the Commission</w:t>
      </w:r>
      <w:r w:rsidRPr="009F2734">
        <w:t xml:space="preserve">. </w:t>
      </w:r>
    </w:p>
    <w:p w14:paraId="2689BB22" w14:textId="5495D13B" w:rsidR="00AB4363" w:rsidRPr="00FD0DA0" w:rsidRDefault="00AB4363" w:rsidP="00FD0DA0">
      <w:pPr>
        <w:pStyle w:val="Heading2"/>
        <w:keepLines w:val="0"/>
        <w:spacing w:before="240" w:after="240"/>
        <w:rPr>
          <w:rFonts w:eastAsia="Times New Roman"/>
          <w:bCs/>
          <w:smallCaps/>
          <w:kern w:val="2"/>
          <w:shd w:val="clear" w:color="auto" w:fill="FFFFFF"/>
        </w:rPr>
      </w:pPr>
      <w:r w:rsidRPr="00FD0DA0">
        <w:rPr>
          <w:rFonts w:ascii="Arial" w:eastAsia="Times New Roman" w:hAnsi="Arial" w:cs="Arial"/>
          <w:b/>
          <w:bCs/>
          <w:smallCaps/>
          <w:color w:val="auto"/>
          <w:kern w:val="2"/>
          <w:sz w:val="24"/>
          <w:szCs w:val="24"/>
          <w:shd w:val="clear" w:color="auto" w:fill="FFFFFF"/>
        </w:rPr>
        <w:t>Further Conciliation</w:t>
      </w:r>
    </w:p>
    <w:p w14:paraId="4F02CCDF" w14:textId="1288B594" w:rsidR="00AB4363" w:rsidRDefault="00AB4363" w:rsidP="00FD0DA0">
      <w:pPr>
        <w:pStyle w:val="1stLevel"/>
        <w:numPr>
          <w:ilvl w:val="0"/>
          <w:numId w:val="1"/>
        </w:numPr>
        <w:tabs>
          <w:tab w:val="clear" w:pos="720"/>
        </w:tabs>
      </w:pPr>
      <w:r w:rsidRPr="009F2734">
        <w:t xml:space="preserve">A party may make </w:t>
      </w:r>
      <w:r w:rsidR="00722694">
        <w:t xml:space="preserve">an application for </w:t>
      </w:r>
      <w:r w:rsidR="006A0FB4">
        <w:t xml:space="preserve">a </w:t>
      </w:r>
      <w:r w:rsidR="00722694">
        <w:t xml:space="preserve">further </w:t>
      </w:r>
      <w:r w:rsidRPr="009F2734">
        <w:t>conciliation conference only by consent of the other party</w:t>
      </w:r>
      <w:r w:rsidR="006A0FB4">
        <w:t>,</w:t>
      </w:r>
      <w:r w:rsidRPr="009F2734">
        <w:t xml:space="preserve"> and by writing to the Industrial Registrar.</w:t>
      </w:r>
    </w:p>
    <w:p w14:paraId="7B0E65E0" w14:textId="21AAACE2" w:rsidR="006A0FB4" w:rsidRDefault="006A0FB4" w:rsidP="00FD0DA0">
      <w:pPr>
        <w:pStyle w:val="1stLevel"/>
        <w:numPr>
          <w:ilvl w:val="0"/>
          <w:numId w:val="1"/>
        </w:numPr>
        <w:tabs>
          <w:tab w:val="clear" w:pos="720"/>
        </w:tabs>
      </w:pPr>
      <w:r w:rsidRPr="009F2734">
        <w:t>Any further conciliation does not excuse the parties from complying with directions made in the proceedings unless an order is made by the Commission to that effect.</w:t>
      </w:r>
    </w:p>
    <w:p w14:paraId="397A6CC4" w14:textId="2BB723D5" w:rsidR="00AB4363" w:rsidRDefault="00AB4363" w:rsidP="00FD0DA0">
      <w:pPr>
        <w:pStyle w:val="1stLevel"/>
        <w:numPr>
          <w:ilvl w:val="0"/>
          <w:numId w:val="1"/>
        </w:numPr>
        <w:tabs>
          <w:tab w:val="clear" w:pos="720"/>
        </w:tabs>
      </w:pPr>
      <w:r w:rsidRPr="009F2734">
        <w:t>Nothing in this Practice Note prevents the Commission from undertaking further conciliation at the hearing of the matter.</w:t>
      </w:r>
    </w:p>
    <w:p w14:paraId="52CD4EA7" w14:textId="77777777" w:rsidR="00AB4363" w:rsidRPr="00FD0DA0" w:rsidRDefault="00AB4363" w:rsidP="00FD0DA0">
      <w:pPr>
        <w:pStyle w:val="Heading2"/>
        <w:keepLines w:val="0"/>
        <w:spacing w:before="240" w:after="240"/>
        <w:rPr>
          <w:rFonts w:eastAsia="Times New Roman"/>
          <w:bCs/>
          <w:smallCaps/>
          <w:kern w:val="2"/>
          <w:shd w:val="clear" w:color="auto" w:fill="FFFFFF"/>
        </w:rPr>
      </w:pPr>
      <w:r w:rsidRPr="00FD0DA0">
        <w:rPr>
          <w:rFonts w:ascii="Arial" w:eastAsia="Times New Roman" w:hAnsi="Arial" w:cs="Arial"/>
          <w:b/>
          <w:bCs/>
          <w:smallCaps/>
          <w:color w:val="auto"/>
          <w:kern w:val="2"/>
          <w:sz w:val="24"/>
          <w:szCs w:val="24"/>
          <w:shd w:val="clear" w:color="auto" w:fill="FFFFFF"/>
        </w:rPr>
        <w:t>Listing of the Application for Hearing</w:t>
      </w:r>
    </w:p>
    <w:p w14:paraId="605ADA58" w14:textId="0AA17ADF" w:rsidR="00AB4363" w:rsidRDefault="00AB4363" w:rsidP="00FD0DA0">
      <w:pPr>
        <w:pStyle w:val="1stLevel"/>
        <w:numPr>
          <w:ilvl w:val="0"/>
          <w:numId w:val="1"/>
        </w:numPr>
        <w:tabs>
          <w:tab w:val="clear" w:pos="720"/>
        </w:tabs>
      </w:pPr>
      <w:r w:rsidRPr="002D5F42">
        <w:t xml:space="preserve">When conciliation before the Commission is unsuccessful, the Commission will make directions for the hearing of the application.  The Commission has issued “Usual Directions” which, in the ordinary course, will be made by the Commission.  The “Usual Directions” can be found on the Commission’s website: </w:t>
      </w:r>
      <w:hyperlink r:id="rId15" w:history="1">
        <w:r w:rsidR="000B66D9" w:rsidRPr="000B66D9">
          <w:rPr>
            <w:rStyle w:val="Hyperlink"/>
          </w:rPr>
          <w:t>Usual Directions</w:t>
        </w:r>
      </w:hyperlink>
      <w:r w:rsidRPr="002D5F42">
        <w:t>.</w:t>
      </w:r>
      <w:r w:rsidRPr="009F2734">
        <w:t xml:space="preserve"> </w:t>
      </w:r>
    </w:p>
    <w:p w14:paraId="187744F4" w14:textId="761741CE" w:rsidR="00AB4363" w:rsidRDefault="00AB4363" w:rsidP="00FD0DA0">
      <w:pPr>
        <w:pStyle w:val="1stLevel"/>
        <w:numPr>
          <w:ilvl w:val="0"/>
          <w:numId w:val="1"/>
        </w:numPr>
        <w:tabs>
          <w:tab w:val="clear" w:pos="720"/>
        </w:tabs>
      </w:pPr>
      <w:r>
        <w:t>For a s</w:t>
      </w:r>
      <w:r w:rsidR="000B66D9">
        <w:t> </w:t>
      </w:r>
      <w:r>
        <w:t>181E Review and an HOD Appeal, the “Usual Directions” will be modified to accommodate the requirement that the case for the Commissioner of Police be considered first</w:t>
      </w:r>
      <w:r w:rsidR="009E774A">
        <w:t>.</w:t>
      </w:r>
      <w:r w:rsidR="000B66D9">
        <w:rPr>
          <w:rStyle w:val="FootnoteReference"/>
        </w:rPr>
        <w:footnoteReference w:id="6"/>
      </w:r>
    </w:p>
    <w:p w14:paraId="09365762" w14:textId="77777777" w:rsidR="00AB4363" w:rsidRPr="00FD0DA0" w:rsidRDefault="00AB4363" w:rsidP="00FD0DA0">
      <w:pPr>
        <w:pStyle w:val="Heading2"/>
        <w:keepLines w:val="0"/>
        <w:spacing w:before="240" w:after="240"/>
        <w:rPr>
          <w:rFonts w:eastAsia="Times New Roman"/>
          <w:bCs/>
          <w:smallCaps/>
          <w:kern w:val="2"/>
          <w:shd w:val="clear" w:color="auto" w:fill="FFFFFF"/>
        </w:rPr>
      </w:pPr>
      <w:r w:rsidRPr="00FD0DA0">
        <w:rPr>
          <w:rFonts w:ascii="Arial" w:eastAsia="Times New Roman" w:hAnsi="Arial" w:cs="Arial"/>
          <w:b/>
          <w:bCs/>
          <w:smallCaps/>
          <w:color w:val="auto"/>
          <w:kern w:val="2"/>
          <w:sz w:val="24"/>
          <w:szCs w:val="24"/>
          <w:shd w:val="clear" w:color="auto" w:fill="FFFFFF"/>
        </w:rPr>
        <w:t xml:space="preserve">Compliance with Directions </w:t>
      </w:r>
    </w:p>
    <w:p w14:paraId="4A183A3A" w14:textId="74B28992" w:rsidR="00AB4363" w:rsidRDefault="00AB4363" w:rsidP="00FD0DA0">
      <w:pPr>
        <w:pStyle w:val="1stLevel"/>
        <w:numPr>
          <w:ilvl w:val="0"/>
          <w:numId w:val="1"/>
        </w:numPr>
        <w:tabs>
          <w:tab w:val="clear" w:pos="720"/>
        </w:tabs>
      </w:pPr>
      <w:r w:rsidRPr="00A245C5">
        <w:t>Parties must comply with any directions made by the Commission unless the Commission determines to vary the directions.</w:t>
      </w:r>
      <w:r w:rsidR="004A6C42">
        <w:t xml:space="preserve"> </w:t>
      </w:r>
      <w:r w:rsidRPr="00A245C5">
        <w:t xml:space="preserve"> An application to vary the directions must be made prior to the date for compliance. </w:t>
      </w:r>
      <w:r w:rsidR="004A6C42">
        <w:t xml:space="preserve"> </w:t>
      </w:r>
      <w:r w:rsidRPr="00A245C5">
        <w:t>Such an application must be in writing and contain full supporting grounds and the other party’s view of the request for variation</w:t>
      </w:r>
      <w:r w:rsidRPr="009F2734">
        <w:t>.</w:t>
      </w:r>
    </w:p>
    <w:p w14:paraId="06BDE2D4" w14:textId="005494B6" w:rsidR="00AB4363" w:rsidRPr="00FD0DA0" w:rsidRDefault="00AB4363" w:rsidP="00FD0DA0">
      <w:pPr>
        <w:pStyle w:val="Heading2"/>
        <w:keepLines w:val="0"/>
        <w:spacing w:before="240" w:after="240"/>
        <w:rPr>
          <w:rFonts w:eastAsia="Times New Roman"/>
          <w:bCs/>
          <w:smallCaps/>
          <w:kern w:val="2"/>
          <w:shd w:val="clear" w:color="auto" w:fill="FFFFFF"/>
        </w:rPr>
      </w:pPr>
      <w:r w:rsidRPr="00FD0DA0">
        <w:rPr>
          <w:rFonts w:ascii="Arial" w:eastAsia="Times New Roman" w:hAnsi="Arial" w:cs="Arial"/>
          <w:b/>
          <w:bCs/>
          <w:smallCaps/>
          <w:color w:val="auto"/>
          <w:kern w:val="2"/>
          <w:sz w:val="24"/>
          <w:szCs w:val="24"/>
          <w:shd w:val="clear" w:color="auto" w:fill="FFFFFF"/>
        </w:rPr>
        <w:t>Adjournments</w:t>
      </w:r>
    </w:p>
    <w:p w14:paraId="3DB39A5C" w14:textId="47D9C888" w:rsidR="00AB4363" w:rsidRDefault="00CB787E" w:rsidP="00FD0DA0">
      <w:pPr>
        <w:pStyle w:val="1stLevel"/>
        <w:numPr>
          <w:ilvl w:val="0"/>
          <w:numId w:val="1"/>
        </w:numPr>
        <w:tabs>
          <w:tab w:val="clear" w:pos="720"/>
        </w:tabs>
      </w:pPr>
      <w:r>
        <w:t>A</w:t>
      </w:r>
      <w:r w:rsidR="00AB4363" w:rsidRPr="009F2734">
        <w:t>n adjournment of the date that is allocated for a conciliation or hearing will not be granted unless there are clear and compelling reasons for the adjournment to occur.</w:t>
      </w:r>
    </w:p>
    <w:p w14:paraId="2E358FDE" w14:textId="6C90E2CA" w:rsidR="00AB4363" w:rsidRDefault="00AB4363" w:rsidP="00FD0DA0">
      <w:pPr>
        <w:pStyle w:val="1stLevel"/>
        <w:numPr>
          <w:ilvl w:val="0"/>
          <w:numId w:val="1"/>
        </w:numPr>
        <w:tabs>
          <w:tab w:val="clear" w:pos="720"/>
        </w:tabs>
      </w:pPr>
      <w:r w:rsidRPr="009F2734">
        <w:t>Any applications for adjournment must be made in a timely way, following consultation with the other party, be in writing and contain full grounds including the other party’s view of the request for adjournment.</w:t>
      </w:r>
      <w:r w:rsidR="004A6C42">
        <w:t xml:space="preserve"> </w:t>
      </w:r>
      <w:r w:rsidRPr="009F2734">
        <w:t xml:space="preserve"> </w:t>
      </w:r>
      <w:r w:rsidR="00DD7027" w:rsidRPr="009F2734">
        <w:t>Consent of the other party does not guarantee that an adjournment will be granted by the Commission</w:t>
      </w:r>
      <w:r w:rsidR="00DD7027">
        <w:t>.</w:t>
      </w:r>
    </w:p>
    <w:p w14:paraId="5697EF4F" w14:textId="1FEA7EAD" w:rsidR="00AB4363" w:rsidRDefault="00AB4363" w:rsidP="00FD0DA0">
      <w:pPr>
        <w:pStyle w:val="1stLevel"/>
        <w:keepNext/>
        <w:numPr>
          <w:ilvl w:val="0"/>
          <w:numId w:val="1"/>
        </w:numPr>
        <w:tabs>
          <w:tab w:val="clear" w:pos="720"/>
        </w:tabs>
      </w:pPr>
      <w:r w:rsidRPr="009F2734">
        <w:lastRenderedPageBreak/>
        <w:t>In the event that a party fails to attend at a</w:t>
      </w:r>
      <w:r>
        <w:t xml:space="preserve"> </w:t>
      </w:r>
      <w:r w:rsidRPr="009F2734">
        <w:t>hearing</w:t>
      </w:r>
      <w:r>
        <w:t xml:space="preserve"> at which they have been duly notified</w:t>
      </w:r>
      <w:r w:rsidRPr="009F2734">
        <w:t xml:space="preserve">, the </w:t>
      </w:r>
      <w:r w:rsidR="004A6C42">
        <w:t xml:space="preserve">Part 9 Application </w:t>
      </w:r>
      <w:r w:rsidRPr="009F2734">
        <w:t>may, in appropriate circumstances, be heard and determined in the absence of that party.</w:t>
      </w:r>
    </w:p>
    <w:p w14:paraId="0F5DE2BA" w14:textId="77777777" w:rsidR="0043224C" w:rsidRDefault="0043224C" w:rsidP="0043224C">
      <w:pPr>
        <w:pStyle w:val="Signature"/>
        <w:keepNext/>
      </w:pPr>
    </w:p>
    <w:p w14:paraId="1FCFB88D" w14:textId="77777777" w:rsidR="0043224C" w:rsidRPr="00D93529" w:rsidRDefault="0043224C" w:rsidP="0043224C">
      <w:pPr>
        <w:pStyle w:val="Signature"/>
        <w:keepNext/>
      </w:pPr>
    </w:p>
    <w:p w14:paraId="7EE7B32D" w14:textId="77777777" w:rsidR="0043224C" w:rsidRDefault="0043224C" w:rsidP="0043224C">
      <w:pPr>
        <w:pStyle w:val="Signature"/>
        <w:keepNext/>
        <w:sectPr w:rsidR="0043224C" w:rsidSect="0043224C">
          <w:headerReference w:type="default" r:id="rId16"/>
          <w:footerReference w:type="default" r:id="rId17"/>
          <w:type w:val="continuous"/>
          <w:pgSz w:w="11906" w:h="16838"/>
          <w:pgMar w:top="1560" w:right="1440" w:bottom="1135" w:left="1440" w:header="708" w:footer="708" w:gutter="0"/>
          <w:cols w:space="708"/>
          <w:docGrid w:linePitch="360"/>
        </w:sectPr>
      </w:pPr>
      <w:r w:rsidRPr="00F95D60">
        <w:t>Justice I Taylor</w:t>
      </w:r>
    </w:p>
    <w:p w14:paraId="19D1C584" w14:textId="77777777" w:rsidR="0043224C" w:rsidRPr="00F95D60" w:rsidRDefault="0043224C" w:rsidP="0043224C">
      <w:pPr>
        <w:pStyle w:val="Signature"/>
        <w:keepNext/>
      </w:pPr>
      <w:r w:rsidRPr="00F95D60">
        <w:t>President</w:t>
      </w:r>
    </w:p>
    <w:p w14:paraId="66BB95CB" w14:textId="59FEE112" w:rsidR="003752C4" w:rsidRDefault="000E00E2" w:rsidP="00FD0DA0">
      <w:pPr>
        <w:pStyle w:val="Signature"/>
      </w:pPr>
      <w:r>
        <w:t xml:space="preserve">14 August </w:t>
      </w:r>
      <w:r w:rsidR="0043224C" w:rsidRPr="00924300">
        <w:t>2025</w:t>
      </w:r>
    </w:p>
    <w:sectPr w:rsidR="003752C4" w:rsidSect="00E633E9">
      <w:type w:val="continuous"/>
      <w:pgSz w:w="11906" w:h="16838"/>
      <w:pgMar w:top="1440" w:right="1440" w:bottom="1440" w:left="1440"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A5C7B" w14:textId="77777777" w:rsidR="0045065D" w:rsidRDefault="0045065D" w:rsidP="00AB4363">
      <w:r>
        <w:separator/>
      </w:r>
    </w:p>
  </w:endnote>
  <w:endnote w:type="continuationSeparator" w:id="0">
    <w:p w14:paraId="58A7B347" w14:textId="77777777" w:rsidR="0045065D" w:rsidRDefault="0045065D" w:rsidP="00AB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803583"/>
      <w:docPartObj>
        <w:docPartGallery w:val="Page Numbers (Bottom of Page)"/>
        <w:docPartUnique/>
      </w:docPartObj>
    </w:sdtPr>
    <w:sdtEndPr>
      <w:rPr>
        <w:noProof/>
      </w:rPr>
    </w:sdtEndPr>
    <w:sdtContent>
      <w:p w14:paraId="09BB26F9" w14:textId="4EECFE86" w:rsidR="00E515B3" w:rsidRDefault="00E515B3">
        <w:pPr>
          <w:jc w:val="center"/>
        </w:pPr>
        <w:r>
          <w:fldChar w:fldCharType="begin"/>
        </w:r>
        <w:r>
          <w:instrText xml:space="preserve"> PAGE   \* MERGEFORMAT </w:instrText>
        </w:r>
        <w:r>
          <w:fldChar w:fldCharType="separate"/>
        </w:r>
        <w:r>
          <w:rPr>
            <w:noProof/>
          </w:rPr>
          <w:t>1</w:t>
        </w:r>
        <w:r>
          <w:rPr>
            <w:noProof/>
          </w:rPr>
          <w:fldChar w:fldCharType="end"/>
        </w:r>
      </w:p>
    </w:sdtContent>
  </w:sdt>
  <w:p w14:paraId="6BD2D59A" w14:textId="77777777" w:rsidR="00E515B3" w:rsidRDefault="00E515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8A2E" w14:textId="77777777" w:rsidR="0020039D" w:rsidRPr="00031CEA" w:rsidRDefault="0020039D" w:rsidP="0020039D">
    <w:pPr>
      <w:rPr>
        <w:rFonts w:eastAsia="Times New Roman"/>
        <w:b/>
        <w:bCs/>
        <w:smallCaps/>
        <w:sz w:val="16"/>
        <w:szCs w:val="16"/>
        <w:shd w:val="clear" w:color="auto" w:fill="FFFFFF"/>
      </w:rPr>
    </w:pPr>
    <w:bookmarkStart w:id="0" w:name="_Hlk205213257"/>
    <w:r w:rsidRPr="00031CEA">
      <w:rPr>
        <w:rFonts w:eastAsia="Times New Roman"/>
        <w:b/>
        <w:bCs/>
        <w:smallCaps/>
        <w:sz w:val="16"/>
        <w:szCs w:val="16"/>
        <w:shd w:val="clear" w:color="auto" w:fill="FFFFFF"/>
      </w:rPr>
      <w:t>Revision history</w:t>
    </w:r>
  </w:p>
  <w:tbl>
    <w:tblPr>
      <w:tblW w:w="5000" w:type="pct"/>
      <w:tblCellMar>
        <w:left w:w="0" w:type="dxa"/>
        <w:right w:w="0" w:type="dxa"/>
      </w:tblCellMar>
      <w:tblLook w:val="04A0" w:firstRow="1" w:lastRow="0" w:firstColumn="1" w:lastColumn="0" w:noHBand="0" w:noVBand="1"/>
    </w:tblPr>
    <w:tblGrid>
      <w:gridCol w:w="4513"/>
      <w:gridCol w:w="4513"/>
    </w:tblGrid>
    <w:tr w:rsidR="0020039D" w:rsidRPr="00C218D1" w14:paraId="19ABB1A2" w14:textId="77777777" w:rsidTr="00417CC3">
      <w:tc>
        <w:tcPr>
          <w:tcW w:w="2500" w:type="pct"/>
          <w:tcBorders>
            <w:top w:val="single" w:sz="4" w:space="0" w:color="auto"/>
            <w:bottom w:val="single" w:sz="4" w:space="0" w:color="auto"/>
          </w:tcBorders>
          <w:hideMark/>
        </w:tcPr>
        <w:p w14:paraId="119DC342" w14:textId="283976B8" w:rsidR="0020039D" w:rsidRPr="001140E0" w:rsidRDefault="0020039D" w:rsidP="0020039D">
          <w:pPr>
            <w:rPr>
              <w:rFonts w:eastAsia="Times New Roman"/>
              <w:sz w:val="16"/>
              <w:szCs w:val="16"/>
            </w:rPr>
          </w:pPr>
          <w:r w:rsidRPr="00C218D1">
            <w:rPr>
              <w:rFonts w:eastAsia="Times New Roman"/>
              <w:sz w:val="16"/>
              <w:szCs w:val="16"/>
            </w:rPr>
            <w:t>First Issue Date:</w:t>
          </w:r>
          <w:r>
            <w:rPr>
              <w:rFonts w:eastAsia="Times New Roman"/>
              <w:sz w:val="16"/>
              <w:szCs w:val="16"/>
            </w:rPr>
            <w:t xml:space="preserve"> </w:t>
          </w:r>
          <w:r w:rsidR="000E00E2">
            <w:rPr>
              <w:rFonts w:eastAsia="Times New Roman"/>
              <w:sz w:val="16"/>
              <w:szCs w:val="16"/>
            </w:rPr>
            <w:t xml:space="preserve">14 August </w:t>
          </w:r>
          <w:r>
            <w:rPr>
              <w:rFonts w:eastAsia="Times New Roman"/>
              <w:sz w:val="16"/>
              <w:szCs w:val="16"/>
            </w:rPr>
            <w:t>2025</w:t>
          </w:r>
        </w:p>
      </w:tc>
      <w:tc>
        <w:tcPr>
          <w:tcW w:w="2500" w:type="pct"/>
          <w:tcBorders>
            <w:top w:val="single" w:sz="4" w:space="0" w:color="auto"/>
            <w:bottom w:val="single" w:sz="4" w:space="0" w:color="auto"/>
          </w:tcBorders>
          <w:hideMark/>
        </w:tcPr>
        <w:p w14:paraId="6C587C76" w14:textId="77777777" w:rsidR="0020039D" w:rsidRPr="00C218D1" w:rsidRDefault="0020039D" w:rsidP="0020039D">
          <w:pPr>
            <w:jc w:val="right"/>
            <w:rPr>
              <w:rFonts w:ascii="Verdana" w:eastAsia="Times New Roman" w:hAnsi="Verdana"/>
              <w:sz w:val="16"/>
              <w:szCs w:val="16"/>
            </w:rPr>
          </w:pPr>
        </w:p>
      </w:tc>
    </w:tr>
    <w:tr w:rsidR="0020039D" w:rsidRPr="00C218D1" w14:paraId="573AE34B" w14:textId="77777777" w:rsidTr="00417CC3">
      <w:tc>
        <w:tcPr>
          <w:tcW w:w="2500" w:type="pct"/>
          <w:tcBorders>
            <w:top w:val="single" w:sz="4" w:space="0" w:color="auto"/>
          </w:tcBorders>
        </w:tcPr>
        <w:p w14:paraId="6ACA4394" w14:textId="17CAA117" w:rsidR="0020039D" w:rsidRPr="00C218D1" w:rsidRDefault="0020039D" w:rsidP="0020039D">
          <w:pPr>
            <w:rPr>
              <w:rFonts w:eastAsia="Times New Roman"/>
              <w:sz w:val="16"/>
              <w:szCs w:val="16"/>
            </w:rPr>
          </w:pPr>
        </w:p>
      </w:tc>
      <w:tc>
        <w:tcPr>
          <w:tcW w:w="2500" w:type="pct"/>
          <w:tcBorders>
            <w:top w:val="single" w:sz="4" w:space="0" w:color="auto"/>
          </w:tcBorders>
        </w:tcPr>
        <w:p w14:paraId="6C8F79A7" w14:textId="77777777" w:rsidR="0020039D" w:rsidRPr="00C218D1" w:rsidRDefault="0020039D" w:rsidP="0020039D">
          <w:pPr>
            <w:jc w:val="right"/>
            <w:rPr>
              <w:rFonts w:ascii="Verdana" w:eastAsia="Times New Roman" w:hAnsi="Verdana"/>
              <w:sz w:val="16"/>
              <w:szCs w:val="16"/>
            </w:rPr>
          </w:pPr>
        </w:p>
      </w:tc>
    </w:tr>
    <w:bookmarkEnd w:id="0"/>
  </w:tbl>
  <w:p w14:paraId="50625163" w14:textId="77777777" w:rsidR="0020039D" w:rsidRDefault="00200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8624" w14:textId="77777777" w:rsidR="0043224C" w:rsidRPr="00F95D60" w:rsidRDefault="0043224C" w:rsidP="004B5DC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2E254" w14:textId="77777777" w:rsidR="0045065D" w:rsidRDefault="0045065D" w:rsidP="00AB4363">
      <w:r>
        <w:separator/>
      </w:r>
    </w:p>
  </w:footnote>
  <w:footnote w:type="continuationSeparator" w:id="0">
    <w:p w14:paraId="09839F11" w14:textId="77777777" w:rsidR="0045065D" w:rsidRDefault="0045065D" w:rsidP="00AB4363">
      <w:r>
        <w:continuationSeparator/>
      </w:r>
    </w:p>
  </w:footnote>
  <w:footnote w:id="1">
    <w:p w14:paraId="1A0626AE" w14:textId="710980CD" w:rsidR="0020039D" w:rsidRDefault="0020039D">
      <w:pPr>
        <w:pStyle w:val="FootnoteText"/>
      </w:pPr>
      <w:r>
        <w:rPr>
          <w:rStyle w:val="FootnoteReference"/>
        </w:rPr>
        <w:footnoteRef/>
      </w:r>
      <w:r>
        <w:t xml:space="preserve"> Police Act s 174(4).</w:t>
      </w:r>
    </w:p>
  </w:footnote>
  <w:footnote w:id="2">
    <w:p w14:paraId="62F52DAB" w14:textId="0646F5F6" w:rsidR="0020039D" w:rsidRDefault="0020039D">
      <w:pPr>
        <w:pStyle w:val="FootnoteText"/>
      </w:pPr>
      <w:r>
        <w:rPr>
          <w:rStyle w:val="FootnoteReference"/>
        </w:rPr>
        <w:footnoteRef/>
      </w:r>
      <w:r>
        <w:t xml:space="preserve"> </w:t>
      </w:r>
      <w:r w:rsidR="00A61808">
        <w:t xml:space="preserve">Police Act </w:t>
      </w:r>
      <w:r w:rsidR="00447380">
        <w:t>s </w:t>
      </w:r>
      <w:r w:rsidR="00A61808" w:rsidRPr="00A61808">
        <w:t>181G(1)(b)</w:t>
      </w:r>
      <w:r w:rsidR="00447380">
        <w:t xml:space="preserve">; </w:t>
      </w:r>
      <w:r w:rsidR="00A61808" w:rsidRPr="00FD0DA0">
        <w:rPr>
          <w:i/>
          <w:iCs/>
        </w:rPr>
        <w:t>Industrial Relations Act 1996</w:t>
      </w:r>
      <w:r w:rsidR="00447380">
        <w:t xml:space="preserve"> (NSW) (</w:t>
      </w:r>
      <w:r w:rsidR="00447380" w:rsidRPr="009E774A">
        <w:rPr>
          <w:b/>
          <w:bCs/>
        </w:rPr>
        <w:t>the IR Act</w:t>
      </w:r>
      <w:r w:rsidR="00447380">
        <w:t xml:space="preserve">) </w:t>
      </w:r>
      <w:r w:rsidR="00447380" w:rsidRPr="00A61808">
        <w:t>s</w:t>
      </w:r>
      <w:r w:rsidR="00447380">
        <w:t> </w:t>
      </w:r>
      <w:r w:rsidR="00447380" w:rsidRPr="00A61808">
        <w:t>85</w:t>
      </w:r>
      <w:r w:rsidR="00447380">
        <w:t>.</w:t>
      </w:r>
    </w:p>
  </w:footnote>
  <w:footnote w:id="3">
    <w:p w14:paraId="3BBAE71E" w14:textId="4D97A6EC" w:rsidR="00A61808" w:rsidRDefault="00A61808">
      <w:pPr>
        <w:pStyle w:val="FootnoteText"/>
      </w:pPr>
      <w:r>
        <w:rPr>
          <w:rStyle w:val="FootnoteReference"/>
        </w:rPr>
        <w:footnoteRef/>
      </w:r>
      <w:r>
        <w:t xml:space="preserve"> </w:t>
      </w:r>
      <w:r w:rsidR="00447380">
        <w:t xml:space="preserve">IR </w:t>
      </w:r>
      <w:r w:rsidRPr="00FD0DA0">
        <w:t>Act</w:t>
      </w:r>
      <w:r>
        <w:rPr>
          <w:i/>
          <w:iCs/>
        </w:rPr>
        <w:t xml:space="preserve"> </w:t>
      </w:r>
      <w:r>
        <w:t>s 100B; applied to an HOD Appeal by sub-ss 186(2)-(3) of the Police Act.</w:t>
      </w:r>
    </w:p>
  </w:footnote>
  <w:footnote w:id="4">
    <w:p w14:paraId="2D5BA036" w14:textId="4737EBE6" w:rsidR="0040121F" w:rsidRDefault="0040121F">
      <w:pPr>
        <w:pStyle w:val="FootnoteText"/>
      </w:pPr>
      <w:r>
        <w:rPr>
          <w:rStyle w:val="FootnoteReference"/>
        </w:rPr>
        <w:footnoteRef/>
      </w:r>
      <w:r>
        <w:t xml:space="preserve"> </w:t>
      </w:r>
      <w:r w:rsidRPr="00417CC3">
        <w:rPr>
          <w:i/>
          <w:iCs/>
        </w:rPr>
        <w:t>Industrial Relations Commission Rules 2022</w:t>
      </w:r>
      <w:r>
        <w:t xml:space="preserve"> (NSW) r</w:t>
      </w:r>
      <w:r w:rsidR="00B0582E">
        <w:t> </w:t>
      </w:r>
      <w:r>
        <w:t xml:space="preserve">4.5(2), noting this Practice Note stands as a standard direction for the purpose of </w:t>
      </w:r>
      <w:r w:rsidR="00B0582E">
        <w:t>r </w:t>
      </w:r>
      <w:r>
        <w:t>4.5(2)(b)</w:t>
      </w:r>
      <w:r w:rsidR="00B0582E">
        <w:t xml:space="preserve"> of the Rules</w:t>
      </w:r>
      <w:r>
        <w:t>.</w:t>
      </w:r>
    </w:p>
  </w:footnote>
  <w:footnote w:id="5">
    <w:p w14:paraId="1C5D7FE3" w14:textId="2AC563A4" w:rsidR="00265085" w:rsidRDefault="00265085">
      <w:pPr>
        <w:pStyle w:val="FootnoteText"/>
      </w:pPr>
      <w:r>
        <w:rPr>
          <w:rStyle w:val="FootnoteReference"/>
        </w:rPr>
        <w:footnoteRef/>
      </w:r>
      <w:r>
        <w:t xml:space="preserve"> See s 173 and s 100E(2) of the IR Act, applied by s 186(2)-(3) of the Police Act.</w:t>
      </w:r>
    </w:p>
  </w:footnote>
  <w:footnote w:id="6">
    <w:p w14:paraId="3E9EF69F" w14:textId="306144E6" w:rsidR="000B66D9" w:rsidRDefault="000B66D9">
      <w:pPr>
        <w:pStyle w:val="FootnoteText"/>
      </w:pPr>
      <w:r>
        <w:rPr>
          <w:rStyle w:val="FootnoteReference"/>
        </w:rPr>
        <w:footnoteRef/>
      </w:r>
      <w:r>
        <w:t xml:space="preserve"> </w:t>
      </w:r>
      <w:r w:rsidR="004A6C42">
        <w:t>See s 181F of the Police Act, and s 100G of the IR Act applied to HOD Appeals by sub-ss 186(2)-(3) of the Police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0B1A" w14:textId="77777777" w:rsidR="0020039D" w:rsidRPr="0020039D" w:rsidRDefault="0020039D" w:rsidP="0020039D">
    <w:pPr>
      <w:tabs>
        <w:tab w:val="center" w:pos="4513"/>
        <w:tab w:val="right" w:pos="9026"/>
      </w:tabs>
      <w:rPr>
        <w:rFonts w:cs="Arial"/>
        <w:smallCaps/>
        <w:kern w:val="2"/>
        <w:sz w:val="18"/>
        <w:szCs w:val="18"/>
        <w:lang w:eastAsia="en-US"/>
      </w:rPr>
    </w:pPr>
    <w:r w:rsidRPr="0020039D">
      <w:rPr>
        <w:rFonts w:cs="Arial"/>
        <w:smallCaps/>
        <w:kern w:val="2"/>
        <w:sz w:val="18"/>
        <w:szCs w:val="18"/>
        <w:lang w:eastAsia="en-US"/>
      </w:rPr>
      <w:t>Industrial Relations Commission of NSW</w:t>
    </w:r>
  </w:p>
  <w:p w14:paraId="33BB7A83" w14:textId="77245299" w:rsidR="00401300" w:rsidRPr="00FD0DA0" w:rsidRDefault="0020039D" w:rsidP="00FD0DA0">
    <w:pPr>
      <w:pBdr>
        <w:bottom w:val="single" w:sz="4" w:space="1" w:color="auto"/>
      </w:pBdr>
      <w:tabs>
        <w:tab w:val="center" w:pos="4513"/>
        <w:tab w:val="right" w:pos="9026"/>
      </w:tabs>
      <w:rPr>
        <w:rFonts w:cs="Arial"/>
        <w:smallCaps/>
        <w:kern w:val="2"/>
        <w:sz w:val="18"/>
        <w:szCs w:val="18"/>
        <w:lang w:eastAsia="en-US"/>
      </w:rPr>
    </w:pPr>
    <w:r w:rsidRPr="0020039D">
      <w:rPr>
        <w:rFonts w:cs="Arial"/>
        <w:smallCaps/>
        <w:kern w:val="2"/>
        <w:sz w:val="18"/>
        <w:szCs w:val="18"/>
        <w:lang w:eastAsia="en-US"/>
      </w:rPr>
      <w:t>Practice Note No. 3</w:t>
    </w:r>
    <w:r w:rsidRPr="0020039D">
      <w:rPr>
        <w:rFonts w:cs="Arial"/>
        <w:smallCaps/>
        <w:kern w:val="2"/>
        <w:sz w:val="18"/>
        <w:szCs w:val="18"/>
        <w:lang w:eastAsia="en-US"/>
      </w:rPr>
      <w:tab/>
    </w:r>
    <w:r w:rsidRPr="0020039D">
      <w:rPr>
        <w:rFonts w:cs="Arial"/>
        <w:smallCaps/>
        <w:kern w:val="2"/>
        <w:sz w:val="18"/>
        <w:szCs w:val="18"/>
        <w:lang w:eastAsia="en-US"/>
      </w:rPr>
      <w:tab/>
      <w:t xml:space="preserve">Page </w:t>
    </w:r>
    <w:r w:rsidRPr="0020039D">
      <w:rPr>
        <w:rFonts w:cs="Arial"/>
        <w:b/>
        <w:bCs/>
        <w:smallCaps/>
        <w:kern w:val="2"/>
        <w:sz w:val="18"/>
        <w:szCs w:val="18"/>
        <w:lang w:eastAsia="en-US"/>
      </w:rPr>
      <w:fldChar w:fldCharType="begin"/>
    </w:r>
    <w:r w:rsidRPr="0020039D">
      <w:rPr>
        <w:rFonts w:cs="Arial"/>
        <w:b/>
        <w:bCs/>
        <w:smallCaps/>
        <w:kern w:val="2"/>
        <w:sz w:val="18"/>
        <w:szCs w:val="18"/>
        <w:lang w:eastAsia="en-US"/>
      </w:rPr>
      <w:instrText xml:space="preserve"> PAGE </w:instrText>
    </w:r>
    <w:r w:rsidRPr="0020039D">
      <w:rPr>
        <w:rFonts w:cs="Arial"/>
        <w:b/>
        <w:bCs/>
        <w:smallCaps/>
        <w:kern w:val="2"/>
        <w:sz w:val="18"/>
        <w:szCs w:val="18"/>
        <w:lang w:eastAsia="en-US"/>
      </w:rPr>
      <w:fldChar w:fldCharType="separate"/>
    </w:r>
    <w:r w:rsidRPr="0020039D">
      <w:rPr>
        <w:rFonts w:cs="Arial"/>
        <w:b/>
        <w:bCs/>
        <w:smallCaps/>
        <w:kern w:val="2"/>
        <w:sz w:val="18"/>
        <w:szCs w:val="18"/>
        <w:lang w:eastAsia="en-US"/>
      </w:rPr>
      <w:t>2</w:t>
    </w:r>
    <w:r w:rsidRPr="0020039D">
      <w:rPr>
        <w:rFonts w:cs="Arial"/>
        <w:b/>
        <w:bCs/>
        <w:smallCaps/>
        <w:kern w:val="2"/>
        <w:sz w:val="18"/>
        <w:szCs w:val="18"/>
        <w:lang w:eastAsia="en-US"/>
      </w:rPr>
      <w:fldChar w:fldCharType="end"/>
    </w:r>
    <w:r w:rsidRPr="0020039D">
      <w:rPr>
        <w:rFonts w:cs="Arial"/>
        <w:smallCaps/>
        <w:kern w:val="2"/>
        <w:sz w:val="18"/>
        <w:szCs w:val="18"/>
        <w:lang w:eastAsia="en-US"/>
      </w:rPr>
      <w:t xml:space="preserve"> of </w:t>
    </w:r>
    <w:r w:rsidRPr="0020039D">
      <w:rPr>
        <w:rFonts w:cs="Arial"/>
        <w:b/>
        <w:bCs/>
        <w:smallCaps/>
        <w:kern w:val="2"/>
        <w:sz w:val="18"/>
        <w:szCs w:val="18"/>
        <w:lang w:eastAsia="en-US"/>
      </w:rPr>
      <w:fldChar w:fldCharType="begin"/>
    </w:r>
    <w:r w:rsidRPr="0020039D">
      <w:rPr>
        <w:rFonts w:cs="Arial"/>
        <w:b/>
        <w:bCs/>
        <w:smallCaps/>
        <w:kern w:val="2"/>
        <w:sz w:val="18"/>
        <w:szCs w:val="18"/>
        <w:lang w:eastAsia="en-US"/>
      </w:rPr>
      <w:instrText xml:space="preserve"> NUMPAGES  </w:instrText>
    </w:r>
    <w:r w:rsidRPr="0020039D">
      <w:rPr>
        <w:rFonts w:cs="Arial"/>
        <w:b/>
        <w:bCs/>
        <w:smallCaps/>
        <w:kern w:val="2"/>
        <w:sz w:val="18"/>
        <w:szCs w:val="18"/>
        <w:lang w:eastAsia="en-US"/>
      </w:rPr>
      <w:fldChar w:fldCharType="separate"/>
    </w:r>
    <w:r w:rsidRPr="0020039D">
      <w:rPr>
        <w:rFonts w:cs="Arial"/>
        <w:b/>
        <w:bCs/>
        <w:smallCaps/>
        <w:kern w:val="2"/>
        <w:sz w:val="18"/>
        <w:szCs w:val="18"/>
        <w:lang w:eastAsia="en-US"/>
      </w:rPr>
      <w:t>12</w:t>
    </w:r>
    <w:r w:rsidRPr="0020039D">
      <w:rPr>
        <w:rFonts w:cs="Arial"/>
        <w:b/>
        <w:bCs/>
        <w:smallCaps/>
        <w:kern w:val="2"/>
        <w:sz w:val="18"/>
        <w:szCs w:val="18"/>
        <w:lang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2968" w14:textId="47859E29" w:rsidR="00E633E9" w:rsidRDefault="00E633E9">
    <w:pPr>
      <w:pStyle w:val="Header"/>
    </w:pPr>
    <w:r>
      <w:rPr>
        <w:noProof/>
      </w:rPr>
      <w:drawing>
        <wp:anchor distT="0" distB="0" distL="114300" distR="114300" simplePos="0" relativeHeight="251661312" behindDoc="0" locked="0" layoutInCell="1" allowOverlap="1" wp14:anchorId="6C116781" wp14:editId="05DFD492">
          <wp:simplePos x="0" y="0"/>
          <wp:positionH relativeFrom="page">
            <wp:align>center</wp:align>
          </wp:positionH>
          <wp:positionV relativeFrom="page">
            <wp:posOffset>277495</wp:posOffset>
          </wp:positionV>
          <wp:extent cx="1576800" cy="1080000"/>
          <wp:effectExtent l="0" t="0" r="4445" b="6350"/>
          <wp:wrapTopAndBottom/>
          <wp:docPr id="117088071" name="Picture 16" descr="A black and white image of a coat of a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A black and white image of a coat of arm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800" cy="10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DC70" w14:textId="77777777" w:rsidR="0043224C" w:rsidRPr="00031CEA" w:rsidRDefault="0043224C" w:rsidP="00031CEA">
    <w:pPr>
      <w:pStyle w:val="Header"/>
      <w:rPr>
        <w:smallCaps/>
        <w:sz w:val="18"/>
        <w:szCs w:val="18"/>
      </w:rPr>
    </w:pPr>
    <w:r w:rsidRPr="00031CEA">
      <w:rPr>
        <w:smallCaps/>
        <w:sz w:val="18"/>
        <w:szCs w:val="18"/>
      </w:rPr>
      <w:t>Industrial Relations Commission of NSW</w:t>
    </w:r>
  </w:p>
  <w:p w14:paraId="0C96B618" w14:textId="2F585153" w:rsidR="0043224C" w:rsidRPr="00031CEA" w:rsidRDefault="0043224C" w:rsidP="00031CEA">
    <w:pPr>
      <w:pStyle w:val="Header"/>
      <w:pBdr>
        <w:bottom w:val="single" w:sz="4" w:space="1" w:color="auto"/>
      </w:pBdr>
      <w:rPr>
        <w:smallCaps/>
        <w:sz w:val="18"/>
        <w:szCs w:val="18"/>
      </w:rPr>
    </w:pPr>
    <w:r w:rsidRPr="00031CEA">
      <w:rPr>
        <w:smallCaps/>
        <w:sz w:val="18"/>
        <w:szCs w:val="18"/>
      </w:rPr>
      <w:t>Practice Note</w:t>
    </w:r>
    <w:r>
      <w:rPr>
        <w:smallCaps/>
        <w:sz w:val="18"/>
        <w:szCs w:val="18"/>
      </w:rPr>
      <w:t xml:space="preserve"> </w:t>
    </w:r>
    <w:r w:rsidR="00956F9E">
      <w:rPr>
        <w:smallCaps/>
        <w:sz w:val="18"/>
        <w:szCs w:val="18"/>
      </w:rPr>
      <w:t>24A</w:t>
    </w:r>
    <w:r w:rsidRPr="00031CEA">
      <w:rPr>
        <w:smallCaps/>
        <w:sz w:val="18"/>
        <w:szCs w:val="18"/>
      </w:rPr>
      <w:tab/>
    </w:r>
    <w:r w:rsidRPr="00031CEA">
      <w:rPr>
        <w:smallCaps/>
        <w:sz w:val="18"/>
        <w:szCs w:val="18"/>
      </w:rPr>
      <w:tab/>
      <w:t xml:space="preserve">Page </w:t>
    </w:r>
    <w:r w:rsidRPr="00031CEA">
      <w:rPr>
        <w:b/>
        <w:bCs/>
        <w:smallCaps/>
        <w:sz w:val="18"/>
        <w:szCs w:val="18"/>
      </w:rPr>
      <w:fldChar w:fldCharType="begin"/>
    </w:r>
    <w:r w:rsidRPr="00031CEA">
      <w:rPr>
        <w:b/>
        <w:bCs/>
        <w:smallCaps/>
        <w:sz w:val="18"/>
        <w:szCs w:val="18"/>
      </w:rPr>
      <w:instrText xml:space="preserve"> PAGE </w:instrText>
    </w:r>
    <w:r w:rsidRPr="00031CEA">
      <w:rPr>
        <w:b/>
        <w:bCs/>
        <w:smallCaps/>
        <w:sz w:val="18"/>
        <w:szCs w:val="18"/>
      </w:rPr>
      <w:fldChar w:fldCharType="separate"/>
    </w:r>
    <w:r w:rsidRPr="00031CEA">
      <w:rPr>
        <w:b/>
        <w:bCs/>
        <w:smallCaps/>
        <w:sz w:val="18"/>
        <w:szCs w:val="18"/>
      </w:rPr>
      <w:t>2</w:t>
    </w:r>
    <w:r w:rsidRPr="00031CEA">
      <w:rPr>
        <w:b/>
        <w:bCs/>
        <w:smallCaps/>
        <w:sz w:val="18"/>
        <w:szCs w:val="18"/>
      </w:rPr>
      <w:fldChar w:fldCharType="end"/>
    </w:r>
    <w:r w:rsidRPr="00031CEA">
      <w:rPr>
        <w:smallCaps/>
        <w:sz w:val="18"/>
        <w:szCs w:val="18"/>
      </w:rPr>
      <w:t xml:space="preserve"> of </w:t>
    </w:r>
    <w:r w:rsidRPr="00031CEA">
      <w:rPr>
        <w:b/>
        <w:bCs/>
        <w:smallCaps/>
        <w:sz w:val="18"/>
        <w:szCs w:val="18"/>
      </w:rPr>
      <w:fldChar w:fldCharType="begin"/>
    </w:r>
    <w:r w:rsidRPr="00031CEA">
      <w:rPr>
        <w:b/>
        <w:bCs/>
        <w:smallCaps/>
        <w:sz w:val="18"/>
        <w:szCs w:val="18"/>
      </w:rPr>
      <w:instrText xml:space="preserve"> NUMPAGES  </w:instrText>
    </w:r>
    <w:r w:rsidRPr="00031CEA">
      <w:rPr>
        <w:b/>
        <w:bCs/>
        <w:smallCaps/>
        <w:sz w:val="18"/>
        <w:szCs w:val="18"/>
      </w:rPr>
      <w:fldChar w:fldCharType="separate"/>
    </w:r>
    <w:r w:rsidRPr="00031CEA">
      <w:rPr>
        <w:b/>
        <w:bCs/>
        <w:smallCaps/>
        <w:sz w:val="18"/>
        <w:szCs w:val="18"/>
      </w:rPr>
      <w:t>7</w:t>
    </w:r>
    <w:r w:rsidRPr="00031CEA">
      <w:rPr>
        <w:b/>
        <w:bCs/>
        <w:smallCap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50A0A"/>
    <w:multiLevelType w:val="multilevel"/>
    <w:tmpl w:val="0EE60C92"/>
    <w:styleLink w:val="CaselawAppealsTemplateListStyle"/>
    <w:lvl w:ilvl="0">
      <w:start w:val="1"/>
      <w:numFmt w:val="decimal"/>
      <w:pStyle w:val="CaselawNumbered1"/>
      <w:lvlText w:val="%1"/>
      <w:lvlJc w:val="left"/>
      <w:pPr>
        <w:tabs>
          <w:tab w:val="num" w:pos="720"/>
        </w:tabs>
        <w:ind w:left="720" w:hanging="720"/>
      </w:pPr>
      <w:rPr>
        <w:rFonts w:hint="default"/>
      </w:rPr>
    </w:lvl>
    <w:lvl w:ilvl="1">
      <w:start w:val="1"/>
      <w:numFmt w:val="decimal"/>
      <w:pStyle w:val="CaselawNumbered10"/>
      <w:lvlText w:val="(%2)"/>
      <w:lvlJc w:val="left"/>
      <w:pPr>
        <w:tabs>
          <w:tab w:val="num" w:pos="720"/>
        </w:tabs>
        <w:ind w:left="1440" w:hanging="720"/>
      </w:pPr>
      <w:rPr>
        <w:rFonts w:hint="default"/>
      </w:rPr>
    </w:lvl>
    <w:lvl w:ilvl="2">
      <w:start w:val="1"/>
      <w:numFmt w:val="lowerLetter"/>
      <w:pStyle w:val="CaselawNumbereda"/>
      <w:lvlText w:val="(%3)"/>
      <w:lvlJc w:val="left"/>
      <w:pPr>
        <w:tabs>
          <w:tab w:val="num" w:pos="720"/>
        </w:tabs>
        <w:ind w:left="2160" w:hanging="720"/>
      </w:pPr>
      <w:rPr>
        <w:rFonts w:hint="default"/>
      </w:rPr>
    </w:lvl>
    <w:lvl w:ilvl="3">
      <w:start w:val="1"/>
      <w:numFmt w:val="lowerRoman"/>
      <w:pStyle w:val="CaselawNumberedi"/>
      <w:lvlText w:val="(%4)"/>
      <w:lvlJc w:val="left"/>
      <w:pPr>
        <w:tabs>
          <w:tab w:val="num" w:pos="720"/>
        </w:tabs>
        <w:ind w:left="2841" w:hanging="681"/>
      </w:pPr>
      <w:rPr>
        <w:rFonts w:hint="default"/>
      </w:rPr>
    </w:lvl>
    <w:lvl w:ilvl="4">
      <w:start w:val="1"/>
      <w:numFmt w:val="upperLetter"/>
      <w:pStyle w:val="CaselawNumberedA0"/>
      <w:lvlText w:val="(%5)"/>
      <w:lvlJc w:val="left"/>
      <w:pPr>
        <w:ind w:left="720" w:firstLine="21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5316117"/>
    <w:multiLevelType w:val="hybridMultilevel"/>
    <w:tmpl w:val="E1503E8A"/>
    <w:lvl w:ilvl="0" w:tplc="2B42FA7A">
      <w:start w:val="1"/>
      <w:numFmt w:val="lowerLetter"/>
      <w:pStyle w:val="2ndLeve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681207978">
    <w:abstractNumId w:val="0"/>
  </w:num>
  <w:num w:numId="2" w16cid:durableId="1210728689">
    <w:abstractNumId w:val="0"/>
  </w:num>
  <w:num w:numId="3" w16cid:durableId="1240209094">
    <w:abstractNumId w:val="1"/>
  </w:num>
  <w:num w:numId="4" w16cid:durableId="2047410646">
    <w:abstractNumId w:val="1"/>
  </w:num>
  <w:num w:numId="5" w16cid:durableId="256445036">
    <w:abstractNumId w:val="1"/>
  </w:num>
  <w:num w:numId="6" w16cid:durableId="1977298438">
    <w:abstractNumId w:val="1"/>
    <w:lvlOverride w:ilvl="0">
      <w:startOverride w:val="1"/>
    </w:lvlOverride>
  </w:num>
  <w:num w:numId="7" w16cid:durableId="1032655201">
    <w:abstractNumId w:val="1"/>
  </w:num>
  <w:num w:numId="8" w16cid:durableId="1145852674">
    <w:abstractNumId w:val="1"/>
    <w:lvlOverride w:ilvl="0">
      <w:startOverride w:val="1"/>
    </w:lvlOverride>
  </w:num>
  <w:num w:numId="9" w16cid:durableId="1199900699">
    <w:abstractNumId w:val="1"/>
  </w:num>
  <w:num w:numId="10" w16cid:durableId="1902865269">
    <w:abstractNumId w:val="1"/>
  </w:num>
  <w:num w:numId="11" w16cid:durableId="2141725706">
    <w:abstractNumId w:val="1"/>
    <w:lvlOverride w:ilvl="0">
      <w:startOverride w:val="1"/>
    </w:lvlOverride>
  </w:num>
  <w:num w:numId="12" w16cid:durableId="1944417089">
    <w:abstractNumId w:val="1"/>
  </w:num>
  <w:num w:numId="13" w16cid:durableId="1108235311">
    <w:abstractNumId w:val="1"/>
    <w:lvlOverride w:ilvl="0">
      <w:startOverride w:val="1"/>
    </w:lvlOverride>
  </w:num>
  <w:num w:numId="14" w16cid:durableId="53041403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63"/>
    <w:rsid w:val="00010467"/>
    <w:rsid w:val="0002129A"/>
    <w:rsid w:val="00026C16"/>
    <w:rsid w:val="00094E22"/>
    <w:rsid w:val="000B66D9"/>
    <w:rsid w:val="000E00E2"/>
    <w:rsid w:val="00114950"/>
    <w:rsid w:val="00146D5C"/>
    <w:rsid w:val="001919AC"/>
    <w:rsid w:val="001926B7"/>
    <w:rsid w:val="001C346A"/>
    <w:rsid w:val="001D4338"/>
    <w:rsid w:val="0020039D"/>
    <w:rsid w:val="00253CE2"/>
    <w:rsid w:val="00265085"/>
    <w:rsid w:val="00292E49"/>
    <w:rsid w:val="0029631E"/>
    <w:rsid w:val="002B5976"/>
    <w:rsid w:val="002D5F42"/>
    <w:rsid w:val="002E67A3"/>
    <w:rsid w:val="00304C10"/>
    <w:rsid w:val="00327853"/>
    <w:rsid w:val="00353DBE"/>
    <w:rsid w:val="00356514"/>
    <w:rsid w:val="003752C4"/>
    <w:rsid w:val="003A0729"/>
    <w:rsid w:val="003B56D5"/>
    <w:rsid w:val="003B5B92"/>
    <w:rsid w:val="0040121F"/>
    <w:rsid w:val="00401300"/>
    <w:rsid w:val="00403523"/>
    <w:rsid w:val="004155AA"/>
    <w:rsid w:val="0043224C"/>
    <w:rsid w:val="00447380"/>
    <w:rsid w:val="00447E9E"/>
    <w:rsid w:val="0045065D"/>
    <w:rsid w:val="004A6C42"/>
    <w:rsid w:val="004C422C"/>
    <w:rsid w:val="004C6259"/>
    <w:rsid w:val="00514416"/>
    <w:rsid w:val="005662B6"/>
    <w:rsid w:val="00582D53"/>
    <w:rsid w:val="005A1B44"/>
    <w:rsid w:val="005F181C"/>
    <w:rsid w:val="00677337"/>
    <w:rsid w:val="006A0FB4"/>
    <w:rsid w:val="006D4B96"/>
    <w:rsid w:val="006F73CA"/>
    <w:rsid w:val="007023F8"/>
    <w:rsid w:val="00722694"/>
    <w:rsid w:val="0072448D"/>
    <w:rsid w:val="007247F8"/>
    <w:rsid w:val="007532CD"/>
    <w:rsid w:val="00755128"/>
    <w:rsid w:val="007762A1"/>
    <w:rsid w:val="007B01F7"/>
    <w:rsid w:val="007F14E6"/>
    <w:rsid w:val="007F4012"/>
    <w:rsid w:val="00863EEE"/>
    <w:rsid w:val="00884248"/>
    <w:rsid w:val="00893D84"/>
    <w:rsid w:val="00930989"/>
    <w:rsid w:val="00932776"/>
    <w:rsid w:val="0093706E"/>
    <w:rsid w:val="00951931"/>
    <w:rsid w:val="00956F9E"/>
    <w:rsid w:val="009B59CB"/>
    <w:rsid w:val="009C09B3"/>
    <w:rsid w:val="009E774A"/>
    <w:rsid w:val="00A245C5"/>
    <w:rsid w:val="00A61808"/>
    <w:rsid w:val="00AB4363"/>
    <w:rsid w:val="00AD7259"/>
    <w:rsid w:val="00AF0A71"/>
    <w:rsid w:val="00B0582E"/>
    <w:rsid w:val="00B17743"/>
    <w:rsid w:val="00B2797B"/>
    <w:rsid w:val="00B37E68"/>
    <w:rsid w:val="00B67DDC"/>
    <w:rsid w:val="00C05932"/>
    <w:rsid w:val="00CB787E"/>
    <w:rsid w:val="00CC086F"/>
    <w:rsid w:val="00CD5A62"/>
    <w:rsid w:val="00CE2CAD"/>
    <w:rsid w:val="00CF4B7A"/>
    <w:rsid w:val="00D1648A"/>
    <w:rsid w:val="00D23428"/>
    <w:rsid w:val="00D4024F"/>
    <w:rsid w:val="00D7360C"/>
    <w:rsid w:val="00DD7027"/>
    <w:rsid w:val="00DF4632"/>
    <w:rsid w:val="00E26361"/>
    <w:rsid w:val="00E40875"/>
    <w:rsid w:val="00E515B3"/>
    <w:rsid w:val="00E633E9"/>
    <w:rsid w:val="00E96BE6"/>
    <w:rsid w:val="00F0074A"/>
    <w:rsid w:val="00F40516"/>
    <w:rsid w:val="00F827B4"/>
    <w:rsid w:val="00FD0DA0"/>
    <w:rsid w:val="00FD6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E13F"/>
  <w15:chartTrackingRefBased/>
  <w15:docId w15:val="{4A675825-3AF0-4A85-A0AA-78E3FE47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4363"/>
    <w:pPr>
      <w:spacing w:after="0" w:line="240" w:lineRule="auto"/>
    </w:pPr>
    <w:rPr>
      <w:rFonts w:ascii="Arial" w:eastAsia="Calibri" w:hAnsi="Arial" w:cs="Times New Roman"/>
      <w:kern w:val="0"/>
      <w:lang w:eastAsia="en-AU"/>
      <w14:ligatures w14:val="none"/>
    </w:rPr>
  </w:style>
  <w:style w:type="paragraph" w:styleId="Heading1">
    <w:name w:val="heading 1"/>
    <w:basedOn w:val="Normal"/>
    <w:next w:val="Normal"/>
    <w:link w:val="Heading1Char"/>
    <w:uiPriority w:val="9"/>
    <w:qFormat/>
    <w:rsid w:val="00AB4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4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3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3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3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3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3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3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3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3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43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3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3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3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3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3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3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363"/>
    <w:rPr>
      <w:rFonts w:eastAsiaTheme="majorEastAsia" w:cstheme="majorBidi"/>
      <w:color w:val="272727" w:themeColor="text1" w:themeTint="D8"/>
    </w:rPr>
  </w:style>
  <w:style w:type="paragraph" w:styleId="Title">
    <w:name w:val="Title"/>
    <w:basedOn w:val="Normal"/>
    <w:next w:val="Normal"/>
    <w:link w:val="TitleChar"/>
    <w:uiPriority w:val="10"/>
    <w:qFormat/>
    <w:rsid w:val="00AB43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3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3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3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363"/>
    <w:pPr>
      <w:spacing w:before="160"/>
      <w:jc w:val="center"/>
    </w:pPr>
    <w:rPr>
      <w:i/>
      <w:iCs/>
      <w:color w:val="404040" w:themeColor="text1" w:themeTint="BF"/>
    </w:rPr>
  </w:style>
  <w:style w:type="character" w:customStyle="1" w:styleId="QuoteChar">
    <w:name w:val="Quote Char"/>
    <w:basedOn w:val="DefaultParagraphFont"/>
    <w:link w:val="Quote"/>
    <w:uiPriority w:val="29"/>
    <w:rsid w:val="00AB4363"/>
    <w:rPr>
      <w:i/>
      <w:iCs/>
      <w:color w:val="404040" w:themeColor="text1" w:themeTint="BF"/>
    </w:rPr>
  </w:style>
  <w:style w:type="paragraph" w:styleId="ListParagraph">
    <w:name w:val="List Paragraph"/>
    <w:basedOn w:val="Normal"/>
    <w:uiPriority w:val="34"/>
    <w:qFormat/>
    <w:rsid w:val="00AB4363"/>
    <w:pPr>
      <w:ind w:left="720"/>
      <w:contextualSpacing/>
    </w:pPr>
  </w:style>
  <w:style w:type="character" w:styleId="IntenseEmphasis">
    <w:name w:val="Intense Emphasis"/>
    <w:basedOn w:val="DefaultParagraphFont"/>
    <w:uiPriority w:val="21"/>
    <w:qFormat/>
    <w:rsid w:val="00AB4363"/>
    <w:rPr>
      <w:i/>
      <w:iCs/>
      <w:color w:val="0F4761" w:themeColor="accent1" w:themeShade="BF"/>
    </w:rPr>
  </w:style>
  <w:style w:type="paragraph" w:styleId="IntenseQuote">
    <w:name w:val="Intense Quote"/>
    <w:basedOn w:val="Normal"/>
    <w:next w:val="Normal"/>
    <w:link w:val="IntenseQuoteChar"/>
    <w:uiPriority w:val="30"/>
    <w:qFormat/>
    <w:rsid w:val="00AB4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363"/>
    <w:rPr>
      <w:i/>
      <w:iCs/>
      <w:color w:val="0F4761" w:themeColor="accent1" w:themeShade="BF"/>
    </w:rPr>
  </w:style>
  <w:style w:type="character" w:styleId="IntenseReference">
    <w:name w:val="Intense Reference"/>
    <w:basedOn w:val="DefaultParagraphFont"/>
    <w:uiPriority w:val="32"/>
    <w:qFormat/>
    <w:rsid w:val="00AB4363"/>
    <w:rPr>
      <w:b/>
      <w:bCs/>
      <w:smallCaps/>
      <w:color w:val="0F4761" w:themeColor="accent1" w:themeShade="BF"/>
      <w:spacing w:val="5"/>
    </w:rPr>
  </w:style>
  <w:style w:type="paragraph" w:customStyle="1" w:styleId="CaselawNormal">
    <w:name w:val="Caselaw Normal"/>
    <w:uiPriority w:val="7"/>
    <w:qFormat/>
    <w:rsid w:val="00AB4363"/>
    <w:pPr>
      <w:spacing w:before="360" w:after="360" w:line="360" w:lineRule="auto"/>
      <w:ind w:left="720"/>
      <w:jc w:val="both"/>
    </w:pPr>
    <w:rPr>
      <w:rFonts w:ascii="Arial" w:eastAsia="Calibri" w:hAnsi="Arial" w:cs="Arial"/>
      <w:kern w:val="0"/>
      <w:lang w:eastAsia="en-AU"/>
      <w14:ligatures w14:val="none"/>
    </w:rPr>
  </w:style>
  <w:style w:type="paragraph" w:customStyle="1" w:styleId="CaselawNumbered1">
    <w:name w:val="Caselaw Numbered 1"/>
    <w:basedOn w:val="CaselawNormal"/>
    <w:uiPriority w:val="8"/>
    <w:qFormat/>
    <w:rsid w:val="00AB4363"/>
    <w:pPr>
      <w:numPr>
        <w:numId w:val="1"/>
      </w:numPr>
    </w:pPr>
  </w:style>
  <w:style w:type="paragraph" w:customStyle="1" w:styleId="CaselawNumbered10">
    <w:name w:val="Caselaw Numbered (1)"/>
    <w:basedOn w:val="CaselawNumbered1"/>
    <w:uiPriority w:val="9"/>
    <w:qFormat/>
    <w:rsid w:val="00AB4363"/>
    <w:pPr>
      <w:numPr>
        <w:ilvl w:val="1"/>
      </w:numPr>
    </w:pPr>
  </w:style>
  <w:style w:type="paragraph" w:customStyle="1" w:styleId="CaselawNumbereda">
    <w:name w:val="Caselaw Numbered (a)"/>
    <w:basedOn w:val="CaselawNumbered10"/>
    <w:uiPriority w:val="10"/>
    <w:qFormat/>
    <w:rsid w:val="00AB4363"/>
    <w:pPr>
      <w:numPr>
        <w:ilvl w:val="2"/>
      </w:numPr>
    </w:pPr>
  </w:style>
  <w:style w:type="paragraph" w:customStyle="1" w:styleId="CaselawNumberedi">
    <w:name w:val="Caselaw Numbered (i)"/>
    <w:basedOn w:val="CaselawNumbereda"/>
    <w:uiPriority w:val="10"/>
    <w:qFormat/>
    <w:rsid w:val="00AB4363"/>
    <w:pPr>
      <w:numPr>
        <w:ilvl w:val="3"/>
      </w:numPr>
      <w:ind w:left="2880" w:hanging="720"/>
    </w:pPr>
  </w:style>
  <w:style w:type="paragraph" w:customStyle="1" w:styleId="CaselawHeading1">
    <w:name w:val="Caselaw Heading 1"/>
    <w:next w:val="CaselawNumbered1"/>
    <w:uiPriority w:val="2"/>
    <w:qFormat/>
    <w:rsid w:val="00AB4363"/>
    <w:pPr>
      <w:keepNext/>
      <w:spacing w:after="240" w:line="240" w:lineRule="auto"/>
      <w:outlineLvl w:val="0"/>
    </w:pPr>
    <w:rPr>
      <w:rFonts w:ascii="Arial" w:eastAsia="Calibri" w:hAnsi="Arial" w:cs="Arial"/>
      <w:b/>
      <w:caps/>
      <w:kern w:val="0"/>
      <w:sz w:val="28"/>
      <w:lang w:eastAsia="en-AU"/>
      <w14:ligatures w14:val="none"/>
    </w:rPr>
  </w:style>
  <w:style w:type="paragraph" w:customStyle="1" w:styleId="CaselawHeading2">
    <w:name w:val="Caselaw Heading 2"/>
    <w:basedOn w:val="CaselawHeading1"/>
    <w:next w:val="CaselawNumbered1"/>
    <w:uiPriority w:val="3"/>
    <w:qFormat/>
    <w:rsid w:val="00AB4363"/>
    <w:pPr>
      <w:outlineLvl w:val="1"/>
    </w:pPr>
    <w:rPr>
      <w:caps w:val="0"/>
      <w:sz w:val="24"/>
    </w:rPr>
  </w:style>
  <w:style w:type="character" w:styleId="Hyperlink">
    <w:name w:val="Hyperlink"/>
    <w:basedOn w:val="DefaultParagraphFont"/>
    <w:uiPriority w:val="99"/>
    <w:unhideWhenUsed/>
    <w:rsid w:val="00AB4363"/>
    <w:rPr>
      <w:color w:val="0000FF"/>
      <w:u w:val="single"/>
    </w:rPr>
  </w:style>
  <w:style w:type="paragraph" w:styleId="FootnoteText">
    <w:name w:val="footnote text"/>
    <w:basedOn w:val="Normal"/>
    <w:link w:val="FootnoteTextChar"/>
    <w:uiPriority w:val="99"/>
    <w:rsid w:val="00AB4363"/>
    <w:pPr>
      <w:tabs>
        <w:tab w:val="left" w:pos="284"/>
      </w:tabs>
      <w:jc w:val="both"/>
    </w:pPr>
    <w:rPr>
      <w:rFonts w:eastAsiaTheme="minorEastAsia" w:cstheme="minorBidi"/>
      <w:sz w:val="20"/>
      <w:szCs w:val="20"/>
      <w:lang w:eastAsia="ja-JP"/>
    </w:rPr>
  </w:style>
  <w:style w:type="character" w:customStyle="1" w:styleId="FootnoteTextChar">
    <w:name w:val="Footnote Text Char"/>
    <w:basedOn w:val="DefaultParagraphFont"/>
    <w:link w:val="FootnoteText"/>
    <w:uiPriority w:val="99"/>
    <w:rsid w:val="00AB4363"/>
    <w:rPr>
      <w:rFonts w:ascii="Arial" w:eastAsiaTheme="minorEastAsia" w:hAnsi="Arial"/>
      <w:kern w:val="0"/>
      <w:sz w:val="20"/>
      <w:szCs w:val="20"/>
      <w:lang w:eastAsia="ja-JP"/>
      <w14:ligatures w14:val="none"/>
    </w:rPr>
  </w:style>
  <w:style w:type="numbering" w:customStyle="1" w:styleId="CaselawAppealsTemplateListStyle">
    <w:name w:val="Caselaw Appeals Template List Style"/>
    <w:uiPriority w:val="99"/>
    <w:locked/>
    <w:rsid w:val="00AB4363"/>
    <w:pPr>
      <w:numPr>
        <w:numId w:val="1"/>
      </w:numPr>
    </w:pPr>
  </w:style>
  <w:style w:type="character" w:styleId="FootnoteReference">
    <w:name w:val="footnote reference"/>
    <w:basedOn w:val="DefaultParagraphFont"/>
    <w:uiPriority w:val="99"/>
    <w:semiHidden/>
    <w:unhideWhenUsed/>
    <w:rsid w:val="00AB4363"/>
    <w:rPr>
      <w:vertAlign w:val="superscript"/>
    </w:rPr>
  </w:style>
  <w:style w:type="paragraph" w:styleId="EndnoteText">
    <w:name w:val="endnote text"/>
    <w:basedOn w:val="Normal"/>
    <w:link w:val="EndnoteTextChar"/>
    <w:uiPriority w:val="99"/>
    <w:rsid w:val="00AB4363"/>
    <w:pPr>
      <w:tabs>
        <w:tab w:val="left" w:pos="284"/>
      </w:tabs>
      <w:jc w:val="both"/>
    </w:pPr>
    <w:rPr>
      <w:rFonts w:cs="Arial"/>
      <w:sz w:val="20"/>
      <w:szCs w:val="20"/>
    </w:rPr>
  </w:style>
  <w:style w:type="character" w:customStyle="1" w:styleId="EndnoteTextChar">
    <w:name w:val="Endnote Text Char"/>
    <w:basedOn w:val="DefaultParagraphFont"/>
    <w:link w:val="EndnoteText"/>
    <w:uiPriority w:val="99"/>
    <w:rsid w:val="00AB4363"/>
    <w:rPr>
      <w:rFonts w:ascii="Arial" w:eastAsia="Calibri" w:hAnsi="Arial" w:cs="Arial"/>
      <w:kern w:val="0"/>
      <w:sz w:val="20"/>
      <w:szCs w:val="20"/>
      <w:lang w:eastAsia="en-AU"/>
      <w14:ligatures w14:val="none"/>
    </w:rPr>
  </w:style>
  <w:style w:type="character" w:styleId="EndnoteReference">
    <w:name w:val="endnote reference"/>
    <w:basedOn w:val="DefaultParagraphFont"/>
    <w:uiPriority w:val="99"/>
    <w:semiHidden/>
    <w:unhideWhenUsed/>
    <w:rsid w:val="00AB4363"/>
    <w:rPr>
      <w:vertAlign w:val="superscript"/>
    </w:rPr>
  </w:style>
  <w:style w:type="paragraph" w:customStyle="1" w:styleId="CaselawNumberedA0">
    <w:name w:val="Caselaw Numbered (A)"/>
    <w:basedOn w:val="CaselawNumberedi"/>
    <w:uiPriority w:val="11"/>
    <w:rsid w:val="00AB4363"/>
    <w:pPr>
      <w:numPr>
        <w:ilvl w:val="4"/>
      </w:numPr>
      <w:ind w:left="3600" w:hanging="720"/>
    </w:pPr>
  </w:style>
  <w:style w:type="paragraph" w:styleId="Header">
    <w:name w:val="header"/>
    <w:basedOn w:val="Normal"/>
    <w:link w:val="HeaderChar"/>
    <w:uiPriority w:val="99"/>
    <w:unhideWhenUsed/>
    <w:rsid w:val="00401300"/>
    <w:pPr>
      <w:tabs>
        <w:tab w:val="center" w:pos="4513"/>
        <w:tab w:val="right" w:pos="9026"/>
      </w:tabs>
    </w:pPr>
  </w:style>
  <w:style w:type="character" w:customStyle="1" w:styleId="HeaderChar">
    <w:name w:val="Header Char"/>
    <w:basedOn w:val="DefaultParagraphFont"/>
    <w:link w:val="Header"/>
    <w:uiPriority w:val="99"/>
    <w:rsid w:val="00401300"/>
    <w:rPr>
      <w:rFonts w:ascii="Arial" w:eastAsia="Calibri" w:hAnsi="Arial" w:cs="Times New Roman"/>
      <w:kern w:val="0"/>
      <w:lang w:eastAsia="en-AU"/>
      <w14:ligatures w14:val="none"/>
    </w:rPr>
  </w:style>
  <w:style w:type="paragraph" w:styleId="Footer">
    <w:name w:val="footer"/>
    <w:basedOn w:val="Normal"/>
    <w:link w:val="FooterChar"/>
    <w:uiPriority w:val="99"/>
    <w:unhideWhenUsed/>
    <w:rsid w:val="00401300"/>
    <w:pPr>
      <w:tabs>
        <w:tab w:val="center" w:pos="4513"/>
        <w:tab w:val="right" w:pos="9026"/>
      </w:tabs>
    </w:pPr>
  </w:style>
  <w:style w:type="character" w:customStyle="1" w:styleId="FooterChar">
    <w:name w:val="Footer Char"/>
    <w:basedOn w:val="DefaultParagraphFont"/>
    <w:link w:val="Footer"/>
    <w:uiPriority w:val="99"/>
    <w:rsid w:val="00401300"/>
    <w:rPr>
      <w:rFonts w:ascii="Arial" w:eastAsia="Calibri" w:hAnsi="Arial" w:cs="Times New Roman"/>
      <w:kern w:val="0"/>
      <w:lang w:eastAsia="en-AU"/>
      <w14:ligatures w14:val="none"/>
    </w:rPr>
  </w:style>
  <w:style w:type="paragraph" w:styleId="Revision">
    <w:name w:val="Revision"/>
    <w:hidden/>
    <w:uiPriority w:val="99"/>
    <w:semiHidden/>
    <w:rsid w:val="00356514"/>
    <w:pPr>
      <w:spacing w:after="0" w:line="240" w:lineRule="auto"/>
    </w:pPr>
    <w:rPr>
      <w:rFonts w:ascii="Arial" w:eastAsia="Calibri" w:hAnsi="Arial" w:cs="Times New Roman"/>
      <w:kern w:val="0"/>
      <w:lang w:eastAsia="en-AU"/>
      <w14:ligatures w14:val="none"/>
    </w:rPr>
  </w:style>
  <w:style w:type="character" w:styleId="SubtleEmphasis">
    <w:name w:val="Subtle Emphasis"/>
    <w:uiPriority w:val="19"/>
    <w:qFormat/>
    <w:rsid w:val="00356514"/>
    <w:rPr>
      <w:rFonts w:eastAsia="Times New Roman"/>
      <w:shd w:val="clear" w:color="auto" w:fill="FFFFFF"/>
      <w:lang w:eastAsia="en-AU"/>
    </w:rPr>
  </w:style>
  <w:style w:type="paragraph" w:customStyle="1" w:styleId="1stLevel">
    <w:name w:val="1st Level"/>
    <w:basedOn w:val="ListParagraph"/>
    <w:link w:val="1stLevelChar"/>
    <w:qFormat/>
    <w:rsid w:val="00356514"/>
    <w:pPr>
      <w:spacing w:after="240"/>
      <w:ind w:hanging="720"/>
      <w:contextualSpacing w:val="0"/>
      <w:jc w:val="both"/>
    </w:pPr>
    <w:rPr>
      <w:rFonts w:eastAsia="Times New Roman" w:cs="Arial"/>
      <w:sz w:val="22"/>
      <w:szCs w:val="22"/>
      <w:shd w:val="clear" w:color="auto" w:fill="FFFFFF"/>
    </w:rPr>
  </w:style>
  <w:style w:type="character" w:customStyle="1" w:styleId="1stLevelChar">
    <w:name w:val="1st Level Char"/>
    <w:link w:val="1stLevel"/>
    <w:rsid w:val="00356514"/>
    <w:rPr>
      <w:rFonts w:ascii="Arial" w:eastAsia="Times New Roman" w:hAnsi="Arial" w:cs="Arial"/>
      <w:kern w:val="0"/>
      <w:sz w:val="22"/>
      <w:szCs w:val="22"/>
      <w:lang w:eastAsia="en-AU"/>
      <w14:ligatures w14:val="none"/>
    </w:rPr>
  </w:style>
  <w:style w:type="character" w:styleId="CommentReference">
    <w:name w:val="annotation reference"/>
    <w:basedOn w:val="DefaultParagraphFont"/>
    <w:uiPriority w:val="99"/>
    <w:semiHidden/>
    <w:unhideWhenUsed/>
    <w:rsid w:val="0002129A"/>
    <w:rPr>
      <w:sz w:val="16"/>
      <w:szCs w:val="16"/>
    </w:rPr>
  </w:style>
  <w:style w:type="paragraph" w:styleId="CommentText">
    <w:name w:val="annotation text"/>
    <w:basedOn w:val="Normal"/>
    <w:link w:val="CommentTextChar"/>
    <w:uiPriority w:val="99"/>
    <w:unhideWhenUsed/>
    <w:rsid w:val="0002129A"/>
    <w:rPr>
      <w:sz w:val="20"/>
      <w:szCs w:val="20"/>
    </w:rPr>
  </w:style>
  <w:style w:type="character" w:customStyle="1" w:styleId="CommentTextChar">
    <w:name w:val="Comment Text Char"/>
    <w:basedOn w:val="DefaultParagraphFont"/>
    <w:link w:val="CommentText"/>
    <w:uiPriority w:val="99"/>
    <w:rsid w:val="0002129A"/>
    <w:rPr>
      <w:rFonts w:ascii="Arial" w:eastAsia="Calibri" w:hAnsi="Arial"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02129A"/>
    <w:rPr>
      <w:b/>
      <w:bCs/>
    </w:rPr>
  </w:style>
  <w:style w:type="character" w:customStyle="1" w:styleId="CommentSubjectChar">
    <w:name w:val="Comment Subject Char"/>
    <w:basedOn w:val="CommentTextChar"/>
    <w:link w:val="CommentSubject"/>
    <w:uiPriority w:val="99"/>
    <w:semiHidden/>
    <w:rsid w:val="0002129A"/>
    <w:rPr>
      <w:rFonts w:ascii="Arial" w:eastAsia="Calibri" w:hAnsi="Arial" w:cs="Times New Roman"/>
      <w:b/>
      <w:bCs/>
      <w:kern w:val="0"/>
      <w:sz w:val="20"/>
      <w:szCs w:val="20"/>
      <w:lang w:eastAsia="en-AU"/>
      <w14:ligatures w14:val="none"/>
    </w:rPr>
  </w:style>
  <w:style w:type="paragraph" w:customStyle="1" w:styleId="2ndLevel">
    <w:name w:val="2nd Level"/>
    <w:basedOn w:val="1stLevel"/>
    <w:link w:val="2ndLevelChar"/>
    <w:qFormat/>
    <w:rsid w:val="00893D84"/>
    <w:pPr>
      <w:numPr>
        <w:numId w:val="10"/>
      </w:numPr>
    </w:pPr>
  </w:style>
  <w:style w:type="character" w:customStyle="1" w:styleId="2ndLevelChar">
    <w:name w:val="2nd Level Char"/>
    <w:link w:val="2ndLevel"/>
    <w:rsid w:val="00893D84"/>
    <w:rPr>
      <w:rFonts w:ascii="Arial" w:eastAsia="Times New Roman" w:hAnsi="Arial" w:cs="Arial"/>
      <w:kern w:val="0"/>
      <w:sz w:val="22"/>
      <w:szCs w:val="22"/>
      <w:lang w:eastAsia="en-AU"/>
      <w14:ligatures w14:val="none"/>
    </w:rPr>
  </w:style>
  <w:style w:type="character" w:styleId="UnresolvedMention">
    <w:name w:val="Unresolved Mention"/>
    <w:basedOn w:val="DefaultParagraphFont"/>
    <w:uiPriority w:val="99"/>
    <w:semiHidden/>
    <w:unhideWhenUsed/>
    <w:rsid w:val="0020039D"/>
    <w:rPr>
      <w:color w:val="605E5C"/>
      <w:shd w:val="clear" w:color="auto" w:fill="E1DFDD"/>
    </w:rPr>
  </w:style>
  <w:style w:type="paragraph" w:styleId="Signature">
    <w:name w:val="Signature"/>
    <w:basedOn w:val="Normal"/>
    <w:link w:val="SignatureChar"/>
    <w:uiPriority w:val="99"/>
    <w:unhideWhenUsed/>
    <w:qFormat/>
    <w:rsid w:val="0043224C"/>
    <w:pPr>
      <w:spacing w:line="286" w:lineRule="atLeast"/>
      <w:jc w:val="right"/>
    </w:pPr>
    <w:rPr>
      <w:rFonts w:eastAsia="Times New Roman" w:cs="Arial"/>
      <w:b/>
      <w:bCs/>
      <w:smallCaps/>
      <w:kern w:val="2"/>
      <w:shd w:val="clear" w:color="auto" w:fill="FFFFFF"/>
    </w:rPr>
  </w:style>
  <w:style w:type="character" w:customStyle="1" w:styleId="SignatureChar">
    <w:name w:val="Signature Char"/>
    <w:basedOn w:val="DefaultParagraphFont"/>
    <w:link w:val="Signature"/>
    <w:uiPriority w:val="99"/>
    <w:rsid w:val="0043224C"/>
    <w:rPr>
      <w:rFonts w:ascii="Arial" w:eastAsia="Times New Roman" w:hAnsi="Arial" w:cs="Arial"/>
      <w:b/>
      <w:bCs/>
      <w:smallCaps/>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irc.nsw.gov.au/documents/practice-notes/Usual-Directions_20250801.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rc.nsw.gov.au/practice-and-procedures/forms/industrial-relations-commission-forms/irc-8---application-for-review-appeal-under-police-act-199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2500b-755a-4d32-8137-d78bd961910e">
      <Terms xmlns="http://schemas.microsoft.com/office/infopath/2007/PartnerControls"/>
    </lcf76f155ced4ddcb4097134ff3c332f>
    <TaxCatchAll xmlns="8c56dc25-cc41-4ce0-bd67-6ca48fc8f15f" xsi:nil="true"/>
    <Dateandtime xmlns="9e62500b-755a-4d32-8137-d78bd96191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D315E3009AEB499D87A9466E304C7A" ma:contentTypeVersion="12" ma:contentTypeDescription="Create a new document." ma:contentTypeScope="" ma:versionID="74e9381281595b173c320695297e726a">
  <xsd:schema xmlns:xsd="http://www.w3.org/2001/XMLSchema" xmlns:xs="http://www.w3.org/2001/XMLSchema" xmlns:p="http://schemas.microsoft.com/office/2006/metadata/properties" xmlns:ns2="9e62500b-755a-4d32-8137-d78bd961910e" xmlns:ns3="8c56dc25-cc41-4ce0-bd67-6ca48fc8f15f" targetNamespace="http://schemas.microsoft.com/office/2006/metadata/properties" ma:root="true" ma:fieldsID="f47e877722efed09531c0bc34b299884" ns2:_="" ns3:_="">
    <xsd:import namespace="9e62500b-755a-4d32-8137-d78bd961910e"/>
    <xsd:import namespace="8c56dc25-cc41-4ce0-bd67-6ca48fc8f1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500b-755a-4d32-8137-d78bd9619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Dateandtime" ma:index="19"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c56dc25-cc41-4ce0-bd67-6ca48fc8f1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7ed50b-87e4-4b31-8398-d7352ce98c8b}" ma:internalName="TaxCatchAll" ma:showField="CatchAllData" ma:web="8c56dc25-cc41-4ce0-bd67-6ca48fc8f1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9B3B1-6E25-42CD-9633-97FD149C5082}">
  <ds:schemaRefs>
    <ds:schemaRef ds:uri="http://schemas.microsoft.com/office/2006/metadata/properties"/>
    <ds:schemaRef ds:uri="http://schemas.microsoft.com/office/infopath/2007/PartnerControls"/>
    <ds:schemaRef ds:uri="9e62500b-755a-4d32-8137-d78bd961910e"/>
    <ds:schemaRef ds:uri="8c56dc25-cc41-4ce0-bd67-6ca48fc8f15f"/>
  </ds:schemaRefs>
</ds:datastoreItem>
</file>

<file path=customXml/itemProps2.xml><?xml version="1.0" encoding="utf-8"?>
<ds:datastoreItem xmlns:ds="http://schemas.openxmlformats.org/officeDocument/2006/customXml" ds:itemID="{8C6F75D0-BCB3-40A9-AE9B-0A570377EE43}">
  <ds:schemaRefs>
    <ds:schemaRef ds:uri="http://schemas.microsoft.com/sharepoint/v3/contenttype/forms"/>
  </ds:schemaRefs>
</ds:datastoreItem>
</file>

<file path=customXml/itemProps3.xml><?xml version="1.0" encoding="utf-8"?>
<ds:datastoreItem xmlns:ds="http://schemas.openxmlformats.org/officeDocument/2006/customXml" ds:itemID="{49138C02-C868-4201-B890-A4488854C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500b-755a-4d32-8137-d78bd961910e"/>
    <ds:schemaRef ds:uri="8c56dc25-cc41-4ce0-bd67-6ca48fc8f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Commissioner Howell</dc:creator>
  <cp:keywords/>
  <dc:description/>
  <cp:lastModifiedBy>Bill Chan</cp:lastModifiedBy>
  <cp:revision>3</cp:revision>
  <cp:lastPrinted>2025-08-14T01:27:00Z</cp:lastPrinted>
  <dcterms:created xsi:type="dcterms:W3CDTF">2025-08-14T01:26:00Z</dcterms:created>
  <dcterms:modified xsi:type="dcterms:W3CDTF">2025-08-14T01:27:00Z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0x010100D1D315E3009AEB499D87A9466E304C7A</vt:lpwstr>
  </property>
  <property fmtid="{D5CDD505-2E9C-101B-9397-08002B2CF9AE}" pid="3" name="MediaServiceImageTags">
    <vt:lpwstr/>
  </property>
</Properties>
</file>